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07C4" w:rsidRDefault="008607C4" w:rsidP="008607C4">
      <w:pPr>
        <w:pStyle w:val="Heading1"/>
        <w:numPr>
          <w:ilvl w:val="0"/>
          <w:numId w:val="0"/>
        </w:numPr>
        <w:spacing w:line="240" w:lineRule="auto"/>
        <w:ind w:left="432"/>
        <w:jc w:val="center"/>
      </w:pPr>
      <w:bookmarkStart w:id="0" w:name="_Toc136080189"/>
      <w:r w:rsidRPr="00B31ECA">
        <w:t>BAB V</w:t>
      </w:r>
      <w:bookmarkStart w:id="1" w:name="_Toc136080190"/>
      <w:bookmarkEnd w:id="0"/>
    </w:p>
    <w:p w:rsidR="008607C4" w:rsidRPr="00B31ECA" w:rsidRDefault="008607C4" w:rsidP="008607C4">
      <w:pPr>
        <w:pStyle w:val="Heading1"/>
        <w:numPr>
          <w:ilvl w:val="0"/>
          <w:numId w:val="0"/>
        </w:numPr>
        <w:spacing w:before="120" w:line="360" w:lineRule="auto"/>
        <w:ind w:left="432"/>
        <w:jc w:val="center"/>
      </w:pPr>
      <w:r w:rsidRPr="00B31ECA">
        <w:t>HASIL DAN PEMBAHASAN</w:t>
      </w:r>
      <w:bookmarkEnd w:id="1"/>
    </w:p>
    <w:p w:rsidR="008607C4" w:rsidRDefault="008607C4" w:rsidP="008607C4">
      <w:pPr>
        <w:pStyle w:val="Heading2"/>
        <w:numPr>
          <w:ilvl w:val="0"/>
          <w:numId w:val="0"/>
        </w:numPr>
        <w:spacing w:line="360" w:lineRule="auto"/>
        <w:ind w:left="576" w:hanging="576"/>
      </w:pPr>
      <w:bookmarkStart w:id="2" w:name="_Toc136080191"/>
      <w:r w:rsidRPr="007363E7">
        <w:t>5.1 Gambaran Umum Lokasi Penelitian</w:t>
      </w:r>
      <w:bookmarkEnd w:id="2"/>
      <w:r w:rsidRPr="007363E7">
        <w:t xml:space="preserve"> </w:t>
      </w:r>
    </w:p>
    <w:p w:rsidR="008607C4" w:rsidRDefault="008607C4" w:rsidP="008607C4">
      <w:pPr>
        <w:spacing w:after="0" w:line="360" w:lineRule="auto"/>
        <w:ind w:firstLine="576"/>
      </w:pPr>
      <w:r>
        <w:t>SMPN 20</w:t>
      </w:r>
      <w:r w:rsidRPr="006F26E3">
        <w:t xml:space="preserve"> </w:t>
      </w:r>
      <w:r>
        <w:t xml:space="preserve">Pekanbaru berdiri berdasarkan SK izin operasional 11 juni 1989, nomor SK pendirian adalah 38901989 dengan status kepemilikan Pemerintahan Pusat. SMPN 20 Pekanbaru beralamatkan di Jalan Abadi, Kecamatan Tampan, Kota Pekanbaru, Provinsi Riau. Adapun jumlah siswa siswi di SMPN 20 Pekanbaru berjumlah 1.123 jiwa yang terdiri dari siswa laki-laki sebanyak 572 jiwa dan siswi perempuan sebanyak 551 jiwa. Guru </w:t>
      </w:r>
      <w:proofErr w:type="gramStart"/>
      <w:r>
        <w:t>dan</w:t>
      </w:r>
      <w:proofErr w:type="gramEnd"/>
      <w:r>
        <w:t xml:space="preserve"> Staff sebanyak 47 orang. SMPN 20 Pekanbaru memiliki sarana pembelajaran yang lengkap dimana 30 ruang kelas, 1 ruang laboratorium, 1 ruang perpustakaan dan 1 ruang sanitasi siswa. </w:t>
      </w:r>
    </w:p>
    <w:p w:rsidR="008607C4" w:rsidRDefault="008607C4" w:rsidP="008607C4">
      <w:pPr>
        <w:spacing w:line="360" w:lineRule="auto"/>
        <w:ind w:firstLine="576"/>
      </w:pPr>
      <w:r>
        <w:t>Puskesmas Sidomulyo Rawat Inap mempunyai luas wilayah kerja 42</w:t>
      </w:r>
      <w:proofErr w:type="gramStart"/>
      <w:r>
        <w:t>,49</w:t>
      </w:r>
      <w:proofErr w:type="gramEnd"/>
      <w:r>
        <w:t xml:space="preserve"> km, terdiri dari dua Kelurahan yaitu Kelurahan Delima dan Kelurahan Tobekgodang, terletak di Kecamatan Binawidya. Jumlah penduduk di wilayah kerja Puskesmas Sidomulyo Rawat Inap tahun 2021 sebesar 42.486 jiwa. Kelurahan Delima terdiri dari 16.400 jiwa, terdiri dari 4.375 kepala keluarga., 8 RW dan 48 RT, sedangkan di Kelurahan Tobekgodang terdiri dari 5.861 kepala keluarga, 15 RW dan 73 RT. Rasio penduduk laki-laki lebih banyak dibanding rasio penduduk perempuan.</w:t>
      </w:r>
    </w:p>
    <w:p w:rsidR="008607C4" w:rsidRPr="00904803" w:rsidRDefault="008607C4" w:rsidP="008607C4">
      <w:pPr>
        <w:pStyle w:val="Heading3"/>
        <w:numPr>
          <w:ilvl w:val="0"/>
          <w:numId w:val="0"/>
        </w:numPr>
        <w:spacing w:after="120"/>
      </w:pPr>
      <w:bookmarkStart w:id="3" w:name="_Toc136080192"/>
      <w:r>
        <w:t xml:space="preserve">5.2 </w:t>
      </w:r>
      <w:r w:rsidRPr="007363E7">
        <w:t xml:space="preserve">Karakteristik </w:t>
      </w:r>
      <w:r>
        <w:t>Responden</w:t>
      </w:r>
      <w:bookmarkEnd w:id="3"/>
    </w:p>
    <w:p w:rsidR="008607C4" w:rsidRPr="004C1484" w:rsidRDefault="008607C4" w:rsidP="008607C4">
      <w:pPr>
        <w:spacing w:line="360" w:lineRule="auto"/>
        <w:ind w:firstLine="576"/>
      </w:pPr>
      <w:r w:rsidRPr="004C1484">
        <w:t xml:space="preserve">Karakteristik responden yang dikumpulkan dalam penelitian ini meliputi identitas siswi yaitu umur, kelas. Dari hasil penelitian yang telah dilakukan diperoleh data identitas responden yang dapat pada tabel 2. </w:t>
      </w:r>
    </w:p>
    <w:p w:rsidR="008607C4" w:rsidRPr="00BF12AC" w:rsidRDefault="008607C4" w:rsidP="008607C4">
      <w:pPr>
        <w:spacing w:after="0" w:line="360" w:lineRule="auto"/>
        <w:jc w:val="center"/>
        <w:rPr>
          <w:b/>
        </w:rPr>
      </w:pPr>
      <w:r w:rsidRPr="00BF12AC">
        <w:rPr>
          <w:b/>
        </w:rPr>
        <w:t>Tabel 2. Karakteristik Responden</w:t>
      </w:r>
    </w:p>
    <w:tbl>
      <w:tblPr>
        <w:tblStyle w:val="ListTable6Colorful"/>
        <w:tblW w:w="7933" w:type="dxa"/>
        <w:tblLook w:val="04A0" w:firstRow="1" w:lastRow="0" w:firstColumn="1" w:lastColumn="0" w:noHBand="0" w:noVBand="1"/>
      </w:tblPr>
      <w:tblGrid>
        <w:gridCol w:w="2122"/>
        <w:gridCol w:w="2693"/>
        <w:gridCol w:w="3118"/>
      </w:tblGrid>
      <w:tr w:rsidR="008607C4" w:rsidTr="003F7BA5">
        <w:trPr>
          <w:cnfStyle w:val="100000000000" w:firstRow="1" w:lastRow="0"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2122" w:type="dxa"/>
          </w:tcPr>
          <w:p w:rsidR="008607C4" w:rsidRPr="00136D46" w:rsidRDefault="008607C4" w:rsidP="003F7BA5">
            <w:pPr>
              <w:jc w:val="center"/>
              <w:rPr>
                <w:szCs w:val="20"/>
              </w:rPr>
            </w:pPr>
            <w:r w:rsidRPr="00136D46">
              <w:rPr>
                <w:szCs w:val="20"/>
              </w:rPr>
              <w:t>Karakteristik</w:t>
            </w:r>
          </w:p>
        </w:tc>
        <w:tc>
          <w:tcPr>
            <w:tcW w:w="2693" w:type="dxa"/>
          </w:tcPr>
          <w:p w:rsidR="008607C4" w:rsidRPr="00136D46" w:rsidRDefault="008607C4" w:rsidP="003F7BA5">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n</w:t>
            </w:r>
          </w:p>
        </w:tc>
        <w:tc>
          <w:tcPr>
            <w:tcW w:w="3118" w:type="dxa"/>
          </w:tcPr>
          <w:p w:rsidR="008607C4" w:rsidRPr="00136D46" w:rsidRDefault="008607C4" w:rsidP="003F7BA5">
            <w:pPr>
              <w:jc w:val="center"/>
              <w:cnfStyle w:val="100000000000" w:firstRow="1" w:lastRow="0" w:firstColumn="0" w:lastColumn="0" w:oddVBand="0" w:evenVBand="0" w:oddHBand="0" w:evenHBand="0" w:firstRowFirstColumn="0" w:firstRowLastColumn="0" w:lastRowFirstColumn="0" w:lastRowLastColumn="0"/>
              <w:rPr>
                <w:szCs w:val="20"/>
              </w:rPr>
            </w:pPr>
            <w:r>
              <w:rPr>
                <w:szCs w:val="20"/>
              </w:rPr>
              <w:t>%</w:t>
            </w:r>
          </w:p>
        </w:tc>
      </w:tr>
      <w:tr w:rsidR="008607C4" w:rsidTr="003F7BA5">
        <w:trPr>
          <w:cnfStyle w:val="000000100000" w:firstRow="0" w:lastRow="0" w:firstColumn="0" w:lastColumn="0" w:oddVBand="0" w:evenVBand="0" w:oddHBand="1" w:evenHBand="0" w:firstRowFirstColumn="0" w:firstRowLastColumn="0" w:lastRowFirstColumn="0" w:lastRowLastColumn="0"/>
          <w:trHeight w:val="245"/>
        </w:trPr>
        <w:tc>
          <w:tcPr>
            <w:cnfStyle w:val="001000000000" w:firstRow="0" w:lastRow="0" w:firstColumn="1" w:lastColumn="0" w:oddVBand="0" w:evenVBand="0" w:oddHBand="0" w:evenHBand="0" w:firstRowFirstColumn="0" w:firstRowLastColumn="0" w:lastRowFirstColumn="0" w:lastRowLastColumn="0"/>
            <w:tcW w:w="7933" w:type="dxa"/>
            <w:gridSpan w:val="3"/>
            <w:shd w:val="clear" w:color="auto" w:fill="FFFFFF" w:themeFill="background1"/>
          </w:tcPr>
          <w:p w:rsidR="008607C4" w:rsidRPr="00136D46" w:rsidRDefault="008607C4" w:rsidP="003F7BA5">
            <w:pPr>
              <w:rPr>
                <w:szCs w:val="20"/>
              </w:rPr>
            </w:pPr>
            <w:r w:rsidRPr="00136D46">
              <w:rPr>
                <w:szCs w:val="20"/>
              </w:rPr>
              <w:t xml:space="preserve">Umur </w:t>
            </w:r>
          </w:p>
        </w:tc>
      </w:tr>
      <w:tr w:rsidR="008607C4" w:rsidTr="003F7BA5">
        <w:trPr>
          <w:trHeight w:val="1240"/>
        </w:trPr>
        <w:tc>
          <w:tcPr>
            <w:cnfStyle w:val="001000000000" w:firstRow="0" w:lastRow="0" w:firstColumn="1" w:lastColumn="0" w:oddVBand="0" w:evenVBand="0" w:oddHBand="0" w:evenHBand="0" w:firstRowFirstColumn="0" w:firstRowLastColumn="0" w:lastRowFirstColumn="0" w:lastRowLastColumn="0"/>
            <w:tcW w:w="2122" w:type="dxa"/>
          </w:tcPr>
          <w:p w:rsidR="008607C4" w:rsidRPr="00136D46" w:rsidRDefault="008607C4" w:rsidP="003F7BA5">
            <w:pPr>
              <w:jc w:val="center"/>
              <w:rPr>
                <w:b w:val="0"/>
                <w:szCs w:val="20"/>
              </w:rPr>
            </w:pPr>
            <w:r w:rsidRPr="00136D46">
              <w:rPr>
                <w:b w:val="0"/>
                <w:szCs w:val="20"/>
              </w:rPr>
              <w:lastRenderedPageBreak/>
              <w:t>13</w:t>
            </w:r>
          </w:p>
          <w:p w:rsidR="008607C4" w:rsidRPr="00136D46" w:rsidRDefault="008607C4" w:rsidP="003F7BA5">
            <w:pPr>
              <w:jc w:val="center"/>
              <w:rPr>
                <w:b w:val="0"/>
                <w:szCs w:val="20"/>
              </w:rPr>
            </w:pPr>
            <w:r w:rsidRPr="00136D46">
              <w:rPr>
                <w:b w:val="0"/>
                <w:szCs w:val="20"/>
              </w:rPr>
              <w:t>14</w:t>
            </w:r>
          </w:p>
          <w:p w:rsidR="008607C4" w:rsidRPr="00136D46" w:rsidRDefault="008607C4" w:rsidP="003F7BA5">
            <w:pPr>
              <w:jc w:val="center"/>
              <w:rPr>
                <w:b w:val="0"/>
                <w:szCs w:val="20"/>
              </w:rPr>
            </w:pPr>
            <w:r w:rsidRPr="00136D46">
              <w:rPr>
                <w:b w:val="0"/>
                <w:szCs w:val="20"/>
              </w:rPr>
              <w:t>15</w:t>
            </w:r>
          </w:p>
          <w:p w:rsidR="008607C4" w:rsidRPr="00136D46" w:rsidRDefault="008607C4" w:rsidP="003F7BA5">
            <w:pPr>
              <w:jc w:val="center"/>
              <w:rPr>
                <w:b w:val="0"/>
                <w:szCs w:val="20"/>
              </w:rPr>
            </w:pPr>
            <w:r w:rsidRPr="00136D46">
              <w:rPr>
                <w:b w:val="0"/>
                <w:szCs w:val="20"/>
              </w:rPr>
              <w:t>16</w:t>
            </w:r>
          </w:p>
          <w:p w:rsidR="008607C4" w:rsidRPr="00136D46" w:rsidRDefault="008607C4" w:rsidP="003F7BA5">
            <w:pPr>
              <w:jc w:val="center"/>
              <w:rPr>
                <w:szCs w:val="20"/>
              </w:rPr>
            </w:pPr>
            <w:r w:rsidRPr="00136D46">
              <w:rPr>
                <w:szCs w:val="20"/>
              </w:rPr>
              <w:t>Total</w:t>
            </w:r>
          </w:p>
        </w:tc>
        <w:tc>
          <w:tcPr>
            <w:tcW w:w="2693" w:type="dxa"/>
          </w:tcPr>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7</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46</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11</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3</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b/>
                <w:szCs w:val="20"/>
              </w:rPr>
              <w:t>67</w:t>
            </w:r>
          </w:p>
        </w:tc>
        <w:tc>
          <w:tcPr>
            <w:tcW w:w="3118" w:type="dxa"/>
          </w:tcPr>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10.4</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68.7</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16.4</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szCs w:val="20"/>
              </w:rPr>
              <w:t>4.5</w:t>
            </w:r>
          </w:p>
          <w:p w:rsidR="008607C4" w:rsidRPr="00136D46" w:rsidRDefault="008607C4" w:rsidP="003F7BA5">
            <w:pPr>
              <w:pStyle w:val="ListParagraph"/>
              <w:ind w:left="0"/>
              <w:jc w:val="center"/>
              <w:cnfStyle w:val="000000000000" w:firstRow="0" w:lastRow="0" w:firstColumn="0" w:lastColumn="0" w:oddVBand="0" w:evenVBand="0" w:oddHBand="0" w:evenHBand="0" w:firstRowFirstColumn="0" w:firstRowLastColumn="0" w:lastRowFirstColumn="0" w:lastRowLastColumn="0"/>
              <w:rPr>
                <w:szCs w:val="20"/>
              </w:rPr>
            </w:pPr>
            <w:r w:rsidRPr="00136D46">
              <w:rPr>
                <w:b/>
                <w:szCs w:val="20"/>
              </w:rPr>
              <w:t>100</w:t>
            </w:r>
          </w:p>
        </w:tc>
      </w:tr>
    </w:tbl>
    <w:p w:rsidR="008607C4" w:rsidRDefault="008607C4" w:rsidP="008607C4">
      <w:pPr>
        <w:spacing w:before="120" w:after="120" w:line="360" w:lineRule="auto"/>
        <w:ind w:firstLine="720"/>
      </w:pPr>
      <w:r w:rsidRPr="00856F27">
        <w:t xml:space="preserve">Berdasarkan </w:t>
      </w:r>
      <w:r>
        <w:t xml:space="preserve">tabel 2 karakteristik umur, diketahui bahwa siswi yang berusia 13 tahun yaitu 10.4%, siswi yang berusia 14 tahun yaitu 68.7%, siswi yang berusia 15 tahun yaitu 16.4% dan siswi yang berusia 16 tahun yaitu 4.5%. </w:t>
      </w:r>
    </w:p>
    <w:p w:rsidR="008607C4" w:rsidRPr="00935451" w:rsidRDefault="008607C4" w:rsidP="008607C4">
      <w:pPr>
        <w:spacing w:line="360" w:lineRule="auto"/>
        <w:ind w:firstLine="720"/>
      </w:pPr>
      <w:r>
        <w:t xml:space="preserve">Remaja adalah individu kelompok umur 10-19 tahun yang dibagi dalam dua pembagian yaitu remaja awal pada awal pada umur 10-14 tahun dan remaja akhir 15-19 tahun. Masa remaja adalah peralihan dari masa anak dengan masa dewasa yang mengalami semua perkembangan semua aspek dan fungsi untuk memasuki dewasa. Umur sampel dalam penelitian ini berkisar antara 13 sampai 16 tahun. </w:t>
      </w:r>
    </w:p>
    <w:p w:rsidR="008607C4" w:rsidRDefault="008607C4" w:rsidP="008607C4">
      <w:pPr>
        <w:pStyle w:val="Heading2"/>
        <w:numPr>
          <w:ilvl w:val="0"/>
          <w:numId w:val="0"/>
        </w:numPr>
        <w:spacing w:line="360" w:lineRule="auto"/>
        <w:ind w:left="576" w:hanging="576"/>
        <w:rPr>
          <w:rStyle w:val="Heading2Char"/>
          <w:b/>
          <w:bCs/>
        </w:rPr>
      </w:pPr>
      <w:bookmarkStart w:id="4" w:name="_Toc136080193"/>
      <w:r>
        <w:rPr>
          <w:rStyle w:val="Heading2Char"/>
          <w:b/>
          <w:bCs/>
        </w:rPr>
        <w:t>5.3</w:t>
      </w:r>
      <w:r w:rsidRPr="00B82A07">
        <w:rPr>
          <w:rStyle w:val="Heading2Char"/>
          <w:b/>
          <w:bCs/>
        </w:rPr>
        <w:t xml:space="preserve"> Pengetahuan</w:t>
      </w:r>
      <w:bookmarkEnd w:id="4"/>
    </w:p>
    <w:p w:rsidR="008607C4" w:rsidRPr="008B3AA9" w:rsidRDefault="008607C4" w:rsidP="008607C4">
      <w:pPr>
        <w:spacing w:line="360" w:lineRule="auto"/>
        <w:ind w:firstLine="576"/>
        <w:rPr>
          <w:rFonts w:eastAsiaTheme="majorEastAsia" w:cstheme="majorBidi"/>
          <w:bCs/>
          <w:szCs w:val="26"/>
        </w:rPr>
      </w:pPr>
      <w:bookmarkStart w:id="5" w:name="_Toc135337958"/>
      <w:bookmarkStart w:id="6" w:name="_Toc135340937"/>
      <w:bookmarkStart w:id="7" w:name="_Toc135601737"/>
      <w:bookmarkStart w:id="8" w:name="_Toc136080194"/>
      <w:r w:rsidRPr="00284DE0">
        <w:rPr>
          <w:rStyle w:val="Heading2Char"/>
          <w:b w:val="0"/>
        </w:rPr>
        <w:t xml:space="preserve">Pengetahuan </w:t>
      </w:r>
      <w:r>
        <w:rPr>
          <w:rStyle w:val="Heading2Char"/>
          <w:b w:val="0"/>
        </w:rPr>
        <w:t xml:space="preserve">merupakan hasil dari tahu, dan ini terjadi setelah orang melakukan pengindraan terhadap suatu objek tertentu. Pengindraan terjadi melalui panca </w:t>
      </w:r>
      <w:proofErr w:type="gramStart"/>
      <w:r>
        <w:rPr>
          <w:rStyle w:val="Heading2Char"/>
          <w:b w:val="0"/>
        </w:rPr>
        <w:t>indra</w:t>
      </w:r>
      <w:proofErr w:type="gramEnd"/>
      <w:r>
        <w:rPr>
          <w:rStyle w:val="Heading2Char"/>
          <w:b w:val="0"/>
        </w:rPr>
        <w:t xml:space="preserve"> manusia, yakni indra penglihatan, penciuman, rasa, dan raba. Pengetahuan atau kognitif merupakan domain yang sangat penting dalam membentuk tindakan seseorang. Pengetahuan sering diperoleh dari pengalaman diri sendiri maupun pengalaman yang diperoleh dari orang lain.</w:t>
      </w:r>
      <w:bookmarkEnd w:id="5"/>
      <w:bookmarkEnd w:id="6"/>
      <w:bookmarkEnd w:id="7"/>
      <w:bookmarkEnd w:id="8"/>
      <w:r>
        <w:rPr>
          <w:rStyle w:val="Heading2Char"/>
          <w:b w:val="0"/>
        </w:rPr>
        <w:t xml:space="preserve">  </w:t>
      </w:r>
    </w:p>
    <w:p w:rsidR="008607C4" w:rsidRPr="00A91EA8" w:rsidRDefault="008607C4" w:rsidP="008607C4">
      <w:pPr>
        <w:spacing w:after="0" w:line="360" w:lineRule="auto"/>
        <w:jc w:val="center"/>
        <w:rPr>
          <w:b/>
        </w:rPr>
      </w:pPr>
      <w:r w:rsidRPr="00A91EA8">
        <w:rPr>
          <w:b/>
        </w:rPr>
        <w:t xml:space="preserve">Tabel </w:t>
      </w:r>
      <w:r>
        <w:rPr>
          <w:b/>
        </w:rPr>
        <w:t xml:space="preserve">3. Distribusi </w:t>
      </w:r>
      <w:r w:rsidRPr="00A91EA8">
        <w:rPr>
          <w:b/>
        </w:rPr>
        <w:t>Frekuensi Berdasarkan Pengetahuan</w:t>
      </w:r>
    </w:p>
    <w:tbl>
      <w:tblPr>
        <w:tblStyle w:val="ListTable6Colorful"/>
        <w:tblW w:w="7933" w:type="dxa"/>
        <w:shd w:val="clear" w:color="auto" w:fill="FFFFFF" w:themeFill="background1"/>
        <w:tblLook w:val="04A0" w:firstRow="1" w:lastRow="0" w:firstColumn="1" w:lastColumn="0" w:noHBand="0" w:noVBand="1"/>
      </w:tblPr>
      <w:tblGrid>
        <w:gridCol w:w="2131"/>
        <w:gridCol w:w="2967"/>
        <w:gridCol w:w="2835"/>
      </w:tblGrid>
      <w:tr w:rsidR="008607C4" w:rsidRPr="004E5DE0" w:rsidTr="003F7BA5">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2131" w:type="dxa"/>
            <w:shd w:val="clear" w:color="auto" w:fill="FFFFFF" w:themeFill="background1"/>
          </w:tcPr>
          <w:p w:rsidR="008607C4" w:rsidRPr="004E5DE0" w:rsidRDefault="008607C4" w:rsidP="003F7BA5">
            <w:pPr>
              <w:pStyle w:val="ListParagraph"/>
              <w:ind w:left="0"/>
              <w:jc w:val="center"/>
            </w:pPr>
            <w:r w:rsidRPr="004E5DE0">
              <w:t>Karakteristik</w:t>
            </w:r>
          </w:p>
        </w:tc>
        <w:tc>
          <w:tcPr>
            <w:tcW w:w="2967" w:type="dxa"/>
            <w:shd w:val="clear" w:color="auto" w:fill="FFFFFF" w:themeFill="background1"/>
          </w:tcPr>
          <w:p w:rsidR="008607C4" w:rsidRPr="004E5DE0" w:rsidRDefault="008607C4" w:rsidP="003F7BA5">
            <w:pPr>
              <w:pStyle w:val="ListParagraph"/>
              <w:ind w:left="0"/>
              <w:jc w:val="center"/>
              <w:cnfStyle w:val="100000000000" w:firstRow="1" w:lastRow="0" w:firstColumn="0" w:lastColumn="0" w:oddVBand="0" w:evenVBand="0" w:oddHBand="0" w:evenHBand="0" w:firstRowFirstColumn="0" w:firstRowLastColumn="0" w:lastRowFirstColumn="0" w:lastRowLastColumn="0"/>
            </w:pPr>
            <w:r>
              <w:t>n</w:t>
            </w:r>
          </w:p>
        </w:tc>
        <w:tc>
          <w:tcPr>
            <w:tcW w:w="2835" w:type="dxa"/>
            <w:shd w:val="clear" w:color="auto" w:fill="FFFFFF" w:themeFill="background1"/>
          </w:tcPr>
          <w:p w:rsidR="008607C4" w:rsidRPr="004E5DE0" w:rsidRDefault="008607C4" w:rsidP="003F7BA5">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4E5DE0">
              <w:t>%</w:t>
            </w:r>
          </w:p>
        </w:tc>
      </w:tr>
      <w:tr w:rsidR="008607C4" w:rsidRPr="004E5DE0" w:rsidTr="003F7BA5">
        <w:trPr>
          <w:cnfStyle w:val="000000100000" w:firstRow="0" w:lastRow="0" w:firstColumn="0" w:lastColumn="0" w:oddVBand="0" w:evenVBand="0" w:oddHBand="1" w:evenHBand="0" w:firstRowFirstColumn="0" w:firstRowLastColumn="0" w:lastRowFirstColumn="0" w:lastRowLastColumn="0"/>
          <w:trHeight w:val="975"/>
        </w:trPr>
        <w:tc>
          <w:tcPr>
            <w:cnfStyle w:val="001000000000" w:firstRow="0" w:lastRow="0" w:firstColumn="1" w:lastColumn="0" w:oddVBand="0" w:evenVBand="0" w:oddHBand="0" w:evenHBand="0" w:firstRowFirstColumn="0" w:firstRowLastColumn="0" w:lastRowFirstColumn="0" w:lastRowLastColumn="0"/>
            <w:tcW w:w="2131" w:type="dxa"/>
            <w:shd w:val="clear" w:color="auto" w:fill="FFFFFF" w:themeFill="background1"/>
          </w:tcPr>
          <w:p w:rsidR="008607C4" w:rsidRPr="004E5DE0" w:rsidRDefault="008607C4" w:rsidP="003F7BA5">
            <w:pPr>
              <w:pStyle w:val="ListParagraph"/>
              <w:ind w:left="0"/>
              <w:jc w:val="center"/>
              <w:rPr>
                <w:b w:val="0"/>
              </w:rPr>
            </w:pPr>
            <w:r w:rsidRPr="004E5DE0">
              <w:rPr>
                <w:b w:val="0"/>
              </w:rPr>
              <w:t>Baik</w:t>
            </w:r>
          </w:p>
          <w:p w:rsidR="008607C4" w:rsidRPr="004E5DE0" w:rsidRDefault="008607C4" w:rsidP="003F7BA5">
            <w:pPr>
              <w:pStyle w:val="ListParagraph"/>
              <w:ind w:left="0"/>
              <w:jc w:val="center"/>
              <w:rPr>
                <w:b w:val="0"/>
              </w:rPr>
            </w:pPr>
            <w:r w:rsidRPr="004E5DE0">
              <w:rPr>
                <w:b w:val="0"/>
              </w:rPr>
              <w:t>Cukup</w:t>
            </w:r>
          </w:p>
          <w:p w:rsidR="008607C4" w:rsidRPr="004E5DE0" w:rsidRDefault="008607C4" w:rsidP="003F7BA5">
            <w:pPr>
              <w:pStyle w:val="ListParagraph"/>
              <w:ind w:left="0"/>
              <w:jc w:val="center"/>
              <w:rPr>
                <w:b w:val="0"/>
              </w:rPr>
            </w:pPr>
            <w:r w:rsidRPr="004E5DE0">
              <w:rPr>
                <w:b w:val="0"/>
              </w:rPr>
              <w:t>Kurang</w:t>
            </w:r>
          </w:p>
          <w:p w:rsidR="008607C4" w:rsidRPr="004E5DE0" w:rsidRDefault="008607C4" w:rsidP="003F7BA5">
            <w:pPr>
              <w:pStyle w:val="ListParagraph"/>
              <w:ind w:left="0"/>
              <w:jc w:val="center"/>
            </w:pPr>
            <w:r w:rsidRPr="004E5DE0">
              <w:t>Total</w:t>
            </w:r>
          </w:p>
        </w:tc>
        <w:tc>
          <w:tcPr>
            <w:tcW w:w="2967" w:type="dxa"/>
            <w:shd w:val="clear" w:color="auto" w:fill="FFFFFF" w:themeFill="background1"/>
          </w:tcPr>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t>32</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t>21</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t>14</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rPr>
                <w:b/>
              </w:rPr>
              <w:t>67</w:t>
            </w:r>
          </w:p>
        </w:tc>
        <w:tc>
          <w:tcPr>
            <w:tcW w:w="2835" w:type="dxa"/>
            <w:shd w:val="clear" w:color="auto" w:fill="FFFFFF" w:themeFill="background1"/>
          </w:tcPr>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t>47.8</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t>31.3</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t>20.9</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rPr>
                <w:b/>
              </w:rPr>
              <w:t>100</w:t>
            </w:r>
          </w:p>
        </w:tc>
      </w:tr>
    </w:tbl>
    <w:p w:rsidR="008607C4" w:rsidRDefault="008607C4" w:rsidP="008607C4">
      <w:pPr>
        <w:spacing w:before="240" w:after="0" w:line="360" w:lineRule="auto"/>
        <w:ind w:firstLine="720"/>
        <w:rPr>
          <w:rStyle w:val="Heading2Char"/>
          <w:b w:val="0"/>
        </w:rPr>
      </w:pPr>
      <w:bookmarkStart w:id="9" w:name="_Toc135337959"/>
      <w:bookmarkStart w:id="10" w:name="_Toc135340938"/>
      <w:bookmarkStart w:id="11" w:name="_Toc135601738"/>
      <w:bookmarkStart w:id="12" w:name="_Toc136080195"/>
      <w:r w:rsidRPr="00DD1B0A">
        <w:rPr>
          <w:rStyle w:val="Heading2Char"/>
          <w:b w:val="0"/>
        </w:rPr>
        <w:lastRenderedPageBreak/>
        <w:t xml:space="preserve">Berdasarkan </w:t>
      </w:r>
      <w:r>
        <w:rPr>
          <w:rStyle w:val="Heading2Char"/>
          <w:b w:val="0"/>
        </w:rPr>
        <w:t>tabel 3, siswi yang memiliki pengetahuan baik sebanyak 47.8%, siswi memiliki pengetahuan cukup sebanyak 31.3% dan siswi pengetahuan kurang sebanyak 20.9%.</w:t>
      </w:r>
      <w:bookmarkEnd w:id="9"/>
      <w:bookmarkEnd w:id="10"/>
      <w:bookmarkEnd w:id="11"/>
      <w:bookmarkEnd w:id="12"/>
      <w:r>
        <w:rPr>
          <w:rStyle w:val="Heading2Char"/>
          <w:b w:val="0"/>
        </w:rPr>
        <w:t xml:space="preserve"> </w:t>
      </w:r>
    </w:p>
    <w:p w:rsidR="008607C4" w:rsidRDefault="008607C4" w:rsidP="008607C4">
      <w:pPr>
        <w:spacing w:after="0" w:line="360" w:lineRule="auto"/>
        <w:ind w:firstLine="576"/>
        <w:rPr>
          <w:rStyle w:val="Heading2Char"/>
          <w:b w:val="0"/>
        </w:rPr>
      </w:pPr>
      <w:bookmarkStart w:id="13" w:name="_Toc136080196"/>
      <w:bookmarkStart w:id="14" w:name="_Toc135337960"/>
      <w:bookmarkStart w:id="15" w:name="_Toc135340939"/>
      <w:bookmarkStart w:id="16" w:name="_Toc135601739"/>
      <w:r>
        <w:rPr>
          <w:rStyle w:val="Heading2Char"/>
          <w:b w:val="0"/>
        </w:rPr>
        <w:t>Pengetahuan remaja putri di SMPN 20</w:t>
      </w:r>
      <w:bookmarkEnd w:id="13"/>
      <w:r w:rsidRPr="008B3AA9">
        <w:t xml:space="preserve"> </w:t>
      </w:r>
      <w:r>
        <w:t xml:space="preserve">Pekanbaru </w:t>
      </w:r>
      <w:r>
        <w:rPr>
          <w:rStyle w:val="Heading2Char"/>
          <w:b w:val="0"/>
        </w:rPr>
        <w:t xml:space="preserve">sudah baik yaitu 47.8%, mereka umumnya sudah mengetahui tanda dan gejala anemia, manfaat mengonsumsi tablet tambah darah. Hal tersebut dikarenakan patugas kesehatan (Ahli Gizi, dan Promosi Kesehatan) gencar mempromosikan pentingnya mengonsumsi tablet tambah darah, dan apabila para petugas kesehatan melakukan pembagian tablet tambah darah ke sekolah petugas kesehatan juga menyempatkan melakukan penyuluhan tentang tablet tambah darah. </w:t>
      </w:r>
      <w:r>
        <w:t xml:space="preserve">Selain itu dari hasil wawancara dengan responden bahwa pernah diadakan penyuluhan dari pihak Puskesmas tentang pentingnya mengkonsumsi TTD pada remaja putri. Keadaan ini tentu saja berdampak positif terhadap pengetahuan remaja putri tentang TTD. </w:t>
      </w:r>
      <w:r>
        <w:rPr>
          <w:rStyle w:val="Heading2Char"/>
          <w:b w:val="0"/>
        </w:rPr>
        <w:t xml:space="preserve">Pada penelitian yang telah dilakukan di SMPN 20 Pekanbaru terdapat 20.9% remaja dalam ketegori kurang. Banyak dari mereka yang kurang mengetahui </w:t>
      </w:r>
      <w:proofErr w:type="gramStart"/>
      <w:r>
        <w:rPr>
          <w:rStyle w:val="Heading2Char"/>
          <w:b w:val="0"/>
        </w:rPr>
        <w:t>apa</w:t>
      </w:r>
      <w:proofErr w:type="gramEnd"/>
      <w:r>
        <w:rPr>
          <w:rStyle w:val="Heading2Char"/>
          <w:b w:val="0"/>
        </w:rPr>
        <w:t xml:space="preserve"> itu anemia, kurang mengetahui makanan yang mengandung zat besi, kadar hemoglobin normal, serta dampak apabila tidak mengonsumsi tablet tambah darah. Kurangnya pengetahuan remaja tentang anemia menyebabkan remaja sangat rentan terterkena anemia. Pengetahuan yang kurang tentang anemia mempunyai pengaruh terhadap perilaku kesehatan remaja karena kurangnya konsumsi makanan yang mengandung zat besi. </w:t>
      </w:r>
      <w:bookmarkEnd w:id="14"/>
      <w:bookmarkEnd w:id="15"/>
    </w:p>
    <w:p w:rsidR="008607C4" w:rsidRDefault="008607C4" w:rsidP="008607C4">
      <w:pPr>
        <w:spacing w:after="0" w:line="360" w:lineRule="auto"/>
        <w:ind w:firstLine="576"/>
        <w:rPr>
          <w:rStyle w:val="Heading2Char"/>
          <w:b w:val="0"/>
        </w:rPr>
      </w:pPr>
      <w:bookmarkStart w:id="17" w:name="_Toc136080197"/>
      <w:r>
        <w:rPr>
          <w:rStyle w:val="Heading2Char"/>
          <w:b w:val="0"/>
        </w:rPr>
        <w:t xml:space="preserve">Pengetahuan baik remaja putri dalam penelitian ini dapat di pengaruhi oleh factor lain yaitu informasi/media </w:t>
      </w:r>
      <w:proofErr w:type="gramStart"/>
      <w:r>
        <w:rPr>
          <w:rStyle w:val="Heading2Char"/>
          <w:b w:val="0"/>
        </w:rPr>
        <w:t>massa</w:t>
      </w:r>
      <w:proofErr w:type="gramEnd"/>
      <w:r>
        <w:rPr>
          <w:rStyle w:val="Heading2Char"/>
          <w:b w:val="0"/>
        </w:rPr>
        <w:t>. Notoatmojo (2011) mengemukakan bahwa informasi yang diperoleh baik dari pendidikan formal maupun nonformal dapat memberikan pengaruh jangka pendek sehingga menghasilkan peningkatan pengetahuan.</w:t>
      </w:r>
      <w:bookmarkEnd w:id="17"/>
      <w:r>
        <w:rPr>
          <w:rStyle w:val="Heading2Char"/>
          <w:b w:val="0"/>
        </w:rPr>
        <w:t xml:space="preserve"> </w:t>
      </w:r>
      <w:r>
        <w:t>Pengetahuan juga merupakan penginderaan manusia, atau hasil tahu seseorang terhadap objek melalui indera yang dimilikinya (mata, hidung, telinga dan lain sebagainya). Sebagian besar pengetahuan manusia diperoleh melalui mata dan telinga.</w:t>
      </w:r>
      <w:r>
        <w:rPr>
          <w:rStyle w:val="Heading2Char"/>
          <w:b w:val="0"/>
        </w:rPr>
        <w:t xml:space="preserve"> </w:t>
      </w:r>
      <w:r>
        <w:t xml:space="preserve">Pada penelitian ini didapatkan yaitu pengetahuan anemia remaja putri terhadap konsumsi tablet tambah darah sudah baik, artinya remaja putri sudah memahami tentang pentingnya konsumsi tablet tambah darah. Hal ini menunjukkan bahwa </w:t>
      </w:r>
      <w:r>
        <w:lastRenderedPageBreak/>
        <w:t xml:space="preserve">pengetahuan berpengaruh terhadap upaya pencegahan anemia melalui konsumsi tablet tambah darah. </w:t>
      </w:r>
    </w:p>
    <w:p w:rsidR="008607C4" w:rsidRDefault="008607C4" w:rsidP="008607C4">
      <w:pPr>
        <w:spacing w:line="360" w:lineRule="auto"/>
        <w:ind w:firstLine="576"/>
        <w:rPr>
          <w:rStyle w:val="Heading2Char"/>
          <w:b w:val="0"/>
        </w:rPr>
      </w:pPr>
      <w:bookmarkStart w:id="18" w:name="_Toc136080198"/>
      <w:r w:rsidRPr="001F1746">
        <w:rPr>
          <w:rStyle w:val="Heading2Char"/>
          <w:b w:val="0"/>
        </w:rPr>
        <w:t xml:space="preserve">Merujuk </w:t>
      </w:r>
      <w:r>
        <w:rPr>
          <w:rStyle w:val="Heading2Char"/>
          <w:b w:val="0"/>
        </w:rPr>
        <w:t xml:space="preserve">pada penelitian (Angraini, 2018) </w:t>
      </w:r>
      <w:bookmarkEnd w:id="16"/>
      <w:r>
        <w:rPr>
          <w:rStyle w:val="Heading2Char"/>
          <w:b w:val="0"/>
        </w:rPr>
        <w:t>kondisi ini terlihat dari remaja putri kurang mengetahui pentingnya tablet tambah darah dan mereka juga kurang mentgetahui tentang manfaat dari tablet tambah darah. Hasil wawancara pada guru UKS tablet tambah darah diminum tidak secara serentak bagi remaja putri disekolah, kadang diberikan tetapi kadang juga tidak. Seharusnya pihak sekolah membuat suatu keputusan untuk minum obat bersama sehingga pemberian lebih efektif.</w:t>
      </w:r>
      <w:bookmarkEnd w:id="18"/>
      <w:r>
        <w:rPr>
          <w:rStyle w:val="Heading2Char"/>
          <w:b w:val="0"/>
        </w:rPr>
        <w:t xml:space="preserve"> </w:t>
      </w:r>
    </w:p>
    <w:p w:rsidR="008607C4" w:rsidRDefault="008607C4" w:rsidP="008607C4">
      <w:pPr>
        <w:spacing w:line="360" w:lineRule="auto"/>
        <w:ind w:firstLine="576"/>
        <w:rPr>
          <w:rStyle w:val="Heading2Char"/>
          <w:b w:val="0"/>
        </w:rPr>
      </w:pPr>
    </w:p>
    <w:p w:rsidR="008607C4" w:rsidRDefault="008607C4" w:rsidP="008607C4">
      <w:pPr>
        <w:spacing w:line="360" w:lineRule="auto"/>
        <w:ind w:firstLine="576"/>
        <w:rPr>
          <w:rStyle w:val="Heading2Char"/>
          <w:b w:val="0"/>
        </w:rPr>
      </w:pPr>
    </w:p>
    <w:p w:rsidR="008607C4" w:rsidRDefault="008607C4" w:rsidP="008607C4">
      <w:pPr>
        <w:spacing w:line="360" w:lineRule="auto"/>
        <w:ind w:firstLine="576"/>
        <w:rPr>
          <w:rStyle w:val="Heading2Char"/>
          <w:b w:val="0"/>
        </w:rPr>
      </w:pPr>
    </w:p>
    <w:p w:rsidR="008607C4" w:rsidRPr="00460E83" w:rsidRDefault="008607C4" w:rsidP="008607C4">
      <w:pPr>
        <w:spacing w:after="0" w:line="360" w:lineRule="auto"/>
        <w:jc w:val="center"/>
        <w:rPr>
          <w:rStyle w:val="Heading2Char"/>
        </w:rPr>
      </w:pPr>
      <w:r w:rsidRPr="00460E83">
        <w:rPr>
          <w:rStyle w:val="Heading2Char"/>
        </w:rPr>
        <w:t xml:space="preserve">Tabel </w:t>
      </w:r>
      <w:r>
        <w:rPr>
          <w:rStyle w:val="Heading2Char"/>
        </w:rPr>
        <w:t xml:space="preserve">4. </w:t>
      </w:r>
      <w:r w:rsidRPr="00460E83">
        <w:rPr>
          <w:rStyle w:val="Heading2Char"/>
        </w:rPr>
        <w:t>Sebaran Pertanyaan Pengetahuan Anemia</w:t>
      </w:r>
    </w:p>
    <w:tbl>
      <w:tblPr>
        <w:tblStyle w:val="ListTable6Colorful"/>
        <w:tblW w:w="7933" w:type="dxa"/>
        <w:tblLayout w:type="fixed"/>
        <w:tblLook w:val="04A0" w:firstRow="1" w:lastRow="0" w:firstColumn="1" w:lastColumn="0" w:noHBand="0" w:noVBand="1"/>
      </w:tblPr>
      <w:tblGrid>
        <w:gridCol w:w="576"/>
        <w:gridCol w:w="4522"/>
        <w:gridCol w:w="1418"/>
        <w:gridCol w:w="1417"/>
      </w:tblGrid>
      <w:tr w:rsidR="008607C4" w:rsidTr="003F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vMerge w:val="restart"/>
          </w:tcPr>
          <w:p w:rsidR="008607C4" w:rsidRPr="00B83695" w:rsidRDefault="008607C4" w:rsidP="003F7BA5">
            <w:pPr>
              <w:spacing w:line="360" w:lineRule="auto"/>
              <w:rPr>
                <w:rStyle w:val="Heading2Char"/>
                <w:b/>
              </w:rPr>
            </w:pPr>
            <w:r w:rsidRPr="00B83695">
              <w:rPr>
                <w:rStyle w:val="Heading2Char"/>
                <w:b/>
              </w:rPr>
              <w:t>NO</w:t>
            </w:r>
          </w:p>
        </w:tc>
        <w:tc>
          <w:tcPr>
            <w:tcW w:w="4522" w:type="dxa"/>
            <w:vMerge w:val="restart"/>
            <w:shd w:val="clear" w:color="auto" w:fill="FFFFFF" w:themeFill="background1"/>
          </w:tcPr>
          <w:p w:rsidR="008607C4" w:rsidRPr="00B83695" w:rsidRDefault="008607C4" w:rsidP="003F7BA5">
            <w:pPr>
              <w:jc w:val="center"/>
              <w:cnfStyle w:val="100000000000" w:firstRow="1" w:lastRow="0" w:firstColumn="0" w:lastColumn="0" w:oddVBand="0" w:evenVBand="0" w:oddHBand="0" w:evenHBand="0" w:firstRowFirstColumn="0" w:firstRowLastColumn="0" w:lastRowFirstColumn="0" w:lastRowLastColumn="0"/>
              <w:rPr>
                <w:rStyle w:val="Heading2Char"/>
                <w:b/>
              </w:rPr>
            </w:pPr>
            <w:r w:rsidRPr="00B83695">
              <w:rPr>
                <w:rStyle w:val="Heading2Char"/>
                <w:b/>
              </w:rPr>
              <w:t>Pertanyaan</w:t>
            </w:r>
          </w:p>
        </w:tc>
        <w:tc>
          <w:tcPr>
            <w:tcW w:w="2835" w:type="dxa"/>
            <w:gridSpan w:val="2"/>
            <w:shd w:val="clear" w:color="auto" w:fill="FFFFFF" w:themeFill="background1"/>
          </w:tcPr>
          <w:p w:rsidR="008607C4" w:rsidRPr="00B83695" w:rsidRDefault="008607C4" w:rsidP="003F7BA5">
            <w:pPr>
              <w:jc w:val="center"/>
              <w:cnfStyle w:val="100000000000" w:firstRow="1" w:lastRow="0" w:firstColumn="0" w:lastColumn="0" w:oddVBand="0" w:evenVBand="0" w:oddHBand="0" w:evenHBand="0" w:firstRowFirstColumn="0" w:firstRowLastColumn="0" w:lastRowFirstColumn="0" w:lastRowLastColumn="0"/>
              <w:rPr>
                <w:rStyle w:val="Heading2Char"/>
                <w:b/>
              </w:rPr>
            </w:pPr>
            <w:r w:rsidRPr="00B83695">
              <w:rPr>
                <w:rStyle w:val="Heading2Char"/>
                <w:b/>
              </w:rPr>
              <w:t>Jawaban Benar</w:t>
            </w:r>
          </w:p>
        </w:tc>
      </w:tr>
      <w:tr w:rsidR="008607C4" w:rsidTr="003F7B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76" w:type="dxa"/>
            <w:vMerge/>
          </w:tcPr>
          <w:p w:rsidR="008607C4" w:rsidRPr="005C60A9" w:rsidRDefault="008607C4" w:rsidP="003F7BA5">
            <w:pPr>
              <w:spacing w:line="360" w:lineRule="auto"/>
              <w:rPr>
                <w:rStyle w:val="Heading2Char"/>
              </w:rPr>
            </w:pPr>
          </w:p>
        </w:tc>
        <w:tc>
          <w:tcPr>
            <w:tcW w:w="4522" w:type="dxa"/>
            <w:vMerge/>
            <w:shd w:val="clear" w:color="auto" w:fill="FFFFFF" w:themeFill="background1"/>
          </w:tcPr>
          <w:p w:rsidR="008607C4" w:rsidRPr="005C60A9" w:rsidRDefault="008607C4" w:rsidP="003F7BA5">
            <w:pPr>
              <w:cnfStyle w:val="000000100000" w:firstRow="0" w:lastRow="0" w:firstColumn="0" w:lastColumn="0" w:oddVBand="0" w:evenVBand="0" w:oddHBand="1" w:evenHBand="0" w:firstRowFirstColumn="0" w:firstRowLastColumn="0" w:lastRowFirstColumn="0" w:lastRowLastColumn="0"/>
              <w:rPr>
                <w:rStyle w:val="Heading2Char"/>
              </w:rPr>
            </w:pPr>
          </w:p>
        </w:tc>
        <w:tc>
          <w:tcPr>
            <w:tcW w:w="1418" w:type="dxa"/>
            <w:shd w:val="clear" w:color="auto" w:fill="FFFFFF" w:themeFill="background1"/>
          </w:tcPr>
          <w:p w:rsidR="008607C4" w:rsidRPr="005C60A9"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rPr>
            </w:pPr>
            <w:r>
              <w:rPr>
                <w:rStyle w:val="Heading2Char"/>
              </w:rPr>
              <w:t>n</w:t>
            </w:r>
          </w:p>
        </w:tc>
        <w:tc>
          <w:tcPr>
            <w:tcW w:w="1417" w:type="dxa"/>
            <w:shd w:val="clear" w:color="auto" w:fill="FFFFFF" w:themeFill="background1"/>
          </w:tcPr>
          <w:p w:rsidR="008607C4" w:rsidRPr="005C60A9"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rPr>
            </w:pPr>
            <w:r>
              <w:rPr>
                <w:rStyle w:val="Heading2Char"/>
              </w:rPr>
              <w:t>%</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1. </w:t>
            </w:r>
          </w:p>
        </w:tc>
        <w:tc>
          <w:tcPr>
            <w:tcW w:w="4522"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 xml:space="preserve">Pengertian anemia </w:t>
            </w:r>
          </w:p>
        </w:tc>
        <w:tc>
          <w:tcPr>
            <w:tcW w:w="1418"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48</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71,6</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2. </w:t>
            </w:r>
          </w:p>
        </w:tc>
        <w:tc>
          <w:tcPr>
            <w:tcW w:w="4522"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Tanda dan gejala anemia</w:t>
            </w:r>
          </w:p>
        </w:tc>
        <w:tc>
          <w:tcPr>
            <w:tcW w:w="1418"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60</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89,6</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3.</w:t>
            </w:r>
          </w:p>
        </w:tc>
        <w:tc>
          <w:tcPr>
            <w:tcW w:w="4522"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Sumber makanan yang mengandung zat besi</w:t>
            </w:r>
          </w:p>
        </w:tc>
        <w:tc>
          <w:tcPr>
            <w:tcW w:w="1418"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46</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68,7</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4. </w:t>
            </w:r>
          </w:p>
        </w:tc>
        <w:tc>
          <w:tcPr>
            <w:tcW w:w="4522"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 xml:space="preserve">Dampak anemia terhadap remaja putri </w:t>
            </w:r>
          </w:p>
        </w:tc>
        <w:tc>
          <w:tcPr>
            <w:tcW w:w="1418"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29</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43,3</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5.</w:t>
            </w:r>
          </w:p>
        </w:tc>
        <w:tc>
          <w:tcPr>
            <w:tcW w:w="4522"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Vitamin yang meningkatkan penyerapan zat besi dalam tubuh</w:t>
            </w:r>
          </w:p>
        </w:tc>
        <w:tc>
          <w:tcPr>
            <w:tcW w:w="1418"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51</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76,1</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6. </w:t>
            </w:r>
          </w:p>
        </w:tc>
        <w:tc>
          <w:tcPr>
            <w:tcW w:w="4522"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Kadar Hb normal pada remaja putri</w:t>
            </w:r>
          </w:p>
        </w:tc>
        <w:tc>
          <w:tcPr>
            <w:tcW w:w="1418"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15</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22,4</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7. </w:t>
            </w:r>
          </w:p>
        </w:tc>
        <w:tc>
          <w:tcPr>
            <w:tcW w:w="4522"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Penyebab remaja putri lebih beresiko terkena anemia</w:t>
            </w:r>
          </w:p>
        </w:tc>
        <w:tc>
          <w:tcPr>
            <w:tcW w:w="1418"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47</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70,1</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8. </w:t>
            </w:r>
          </w:p>
        </w:tc>
        <w:tc>
          <w:tcPr>
            <w:tcW w:w="4522"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 xml:space="preserve">Manfaat tablet tambah darah bagi remaja putri </w:t>
            </w:r>
          </w:p>
        </w:tc>
        <w:tc>
          <w:tcPr>
            <w:tcW w:w="1418"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57</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85,1</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lastRenderedPageBreak/>
              <w:t>9.</w:t>
            </w:r>
          </w:p>
        </w:tc>
        <w:tc>
          <w:tcPr>
            <w:tcW w:w="4522" w:type="dxa"/>
            <w:shd w:val="clear" w:color="auto" w:fill="FFFFFF" w:themeFill="background1"/>
          </w:tcPr>
          <w:p w:rsidR="008607C4" w:rsidRDefault="008607C4" w:rsidP="003F7BA5">
            <w:pPr>
              <w:jc w:val="left"/>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 xml:space="preserve">Tindakan yang penting yang dilakukan untuk menanggulangi masalah anemia pada remaja putri </w:t>
            </w:r>
          </w:p>
        </w:tc>
        <w:tc>
          <w:tcPr>
            <w:tcW w:w="1418"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61</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91</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spacing w:line="360" w:lineRule="auto"/>
              <w:rPr>
                <w:rStyle w:val="Heading2Char"/>
                <w:b/>
              </w:rPr>
            </w:pPr>
            <w:r>
              <w:rPr>
                <w:rStyle w:val="Heading2Char"/>
              </w:rPr>
              <w:t xml:space="preserve">10. </w:t>
            </w:r>
          </w:p>
        </w:tc>
        <w:tc>
          <w:tcPr>
            <w:tcW w:w="4522" w:type="dxa"/>
            <w:shd w:val="clear" w:color="auto" w:fill="FFFFFF" w:themeFill="background1"/>
          </w:tcPr>
          <w:p w:rsidR="008607C4" w:rsidRDefault="008607C4" w:rsidP="003F7BA5">
            <w:pPr>
              <w:jc w:val="left"/>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 xml:space="preserve">Makanan yang mencegah anemia pada remaja putri </w:t>
            </w:r>
          </w:p>
        </w:tc>
        <w:tc>
          <w:tcPr>
            <w:tcW w:w="1418"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56</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83,6</w:t>
            </w:r>
          </w:p>
        </w:tc>
      </w:tr>
    </w:tbl>
    <w:p w:rsidR="008607C4" w:rsidRDefault="008607C4" w:rsidP="008607C4">
      <w:pPr>
        <w:spacing w:before="240" w:after="120" w:line="360" w:lineRule="auto"/>
      </w:pPr>
      <w:r>
        <w:rPr>
          <w:rStyle w:val="Heading2Char"/>
          <w:b w:val="0"/>
        </w:rPr>
        <w:tab/>
        <w:t xml:space="preserve">Berdasarkan tabel 4, berdasarkan sebaran pertanyaan responden sudah mengetahui pengertian anemia, tanda dan gejala anemia, manfaat konsumsi tablet tambah darah. Tanda dan gejala anemia berupa keadaan lemah, letih, lesu yang dialami remaja putri. Pentingnya mengonsumsi TTD bagi remaja putri untuk mencegah terjadinya anemia, diperlukan pengetahuan tentang anemia yang merupakan langkah awal remaja putri untuk mengonsumsi tablet tambah darah. </w:t>
      </w:r>
      <w:r>
        <w:t xml:space="preserve">Pemberian TTD merupakan </w:t>
      </w:r>
      <w:proofErr w:type="gramStart"/>
      <w:r>
        <w:t>cara</w:t>
      </w:r>
      <w:proofErr w:type="gramEnd"/>
      <w:r>
        <w:t xml:space="preserve"> yang efektif untuk mengatasi masalah anemia. Pengetahuan tentang anemia ini didapatkan dari bebagai banyak sumber seperti media sosial dan petugas kesehatan. </w:t>
      </w:r>
    </w:p>
    <w:p w:rsidR="008607C4" w:rsidRPr="00046337" w:rsidRDefault="008607C4" w:rsidP="008607C4">
      <w:pPr>
        <w:spacing w:after="120" w:line="360" w:lineRule="auto"/>
        <w:ind w:firstLine="576"/>
        <w:rPr>
          <w:rStyle w:val="Heading2Char"/>
          <w:rFonts w:eastAsiaTheme="minorHAnsi" w:cstheme="minorBidi"/>
          <w:b w:val="0"/>
          <w:bCs w:val="0"/>
          <w:szCs w:val="22"/>
        </w:rPr>
      </w:pPr>
      <w:r>
        <w:t xml:space="preserve">Dari sebaran pertanyaan diketahui responden kurang mengetahui dampak anemia </w:t>
      </w:r>
      <w:r>
        <w:rPr>
          <w:rStyle w:val="Heading2Char"/>
          <w:b w:val="0"/>
        </w:rPr>
        <w:t xml:space="preserve">seperti </w:t>
      </w:r>
      <w:proofErr w:type="gramStart"/>
      <w:r>
        <w:rPr>
          <w:rStyle w:val="Heading2Char"/>
          <w:b w:val="0"/>
        </w:rPr>
        <w:t>akan</w:t>
      </w:r>
      <w:proofErr w:type="gramEnd"/>
      <w:r>
        <w:rPr>
          <w:rStyle w:val="Heading2Char"/>
          <w:b w:val="0"/>
        </w:rPr>
        <w:t xml:space="preserve"> menganggu remaja putri dalam beraktivitas dan sulit berkonsentrasi dalam belajar. Dampak anemia dinilai sebagai masalah yang sangat serius terhadap kesehatan. Masalah kesehatan yang berkaitan dengan kejadian anemia pada remaja putri pucat, pusing, lemah, letih selain itu menghambat pertumbuhan fisik dan perkembangan kecerdasan otak dan menurunkan daya tahan tubuh sehingga rentan terkena penyakit. Informasi terkait kadar hemoglobin ini jarang didapatkan dikarenakan </w:t>
      </w:r>
      <w:proofErr w:type="gramStart"/>
      <w:r>
        <w:rPr>
          <w:rStyle w:val="Heading2Char"/>
          <w:b w:val="0"/>
        </w:rPr>
        <w:t>petugas  pada</w:t>
      </w:r>
      <w:proofErr w:type="gramEnd"/>
      <w:r>
        <w:rPr>
          <w:rStyle w:val="Heading2Char"/>
          <w:b w:val="0"/>
        </w:rPr>
        <w:t xml:space="preserve"> saat melakukan penyuluhan hanya terfokus pada pengertian anemia, tanda dan gejala anemia, serta makanan sumber zat besi. Upaya untuk mengingkatkan pengetahuan remaja putri tentang </w:t>
      </w:r>
      <w:proofErr w:type="gramStart"/>
      <w:r>
        <w:rPr>
          <w:rStyle w:val="Heading2Char"/>
          <w:b w:val="0"/>
        </w:rPr>
        <w:t>kadar</w:t>
      </w:r>
      <w:proofErr w:type="gramEnd"/>
      <w:r>
        <w:rPr>
          <w:rStyle w:val="Heading2Char"/>
          <w:b w:val="0"/>
        </w:rPr>
        <w:t xml:space="preserve"> hemoglobin melalui informasi yang didapat dari petugas kesehatan dan media sosial, walaupun untuk sebagian siswi mengingat angka normal kadar hemoglobin termasuk susah tetapi ini juga diperlukan untuk menambah pengetahuan tentang anemia.  Remaja yang memiliki </w:t>
      </w:r>
      <w:proofErr w:type="gramStart"/>
      <w:r>
        <w:rPr>
          <w:rStyle w:val="Heading2Char"/>
          <w:b w:val="0"/>
        </w:rPr>
        <w:t>kadar</w:t>
      </w:r>
      <w:proofErr w:type="gramEnd"/>
      <w:r>
        <w:rPr>
          <w:rStyle w:val="Heading2Char"/>
          <w:b w:val="0"/>
        </w:rPr>
        <w:t xml:space="preserve"> hemoglobin yang rendah akan membuat aktivitas menurun dan sulit berkonsentrasi. </w:t>
      </w:r>
    </w:p>
    <w:p w:rsidR="008607C4" w:rsidRDefault="008607C4" w:rsidP="008607C4">
      <w:pPr>
        <w:pStyle w:val="Heading2"/>
        <w:numPr>
          <w:ilvl w:val="0"/>
          <w:numId w:val="0"/>
        </w:numPr>
        <w:spacing w:before="120" w:after="120"/>
        <w:ind w:left="576" w:hanging="576"/>
        <w:rPr>
          <w:rStyle w:val="Heading2Char"/>
          <w:b/>
        </w:rPr>
      </w:pPr>
      <w:bookmarkStart w:id="19" w:name="_Toc136080199"/>
      <w:r>
        <w:rPr>
          <w:rStyle w:val="Heading2Char"/>
          <w:b/>
        </w:rPr>
        <w:lastRenderedPageBreak/>
        <w:t>5.4</w:t>
      </w:r>
      <w:r w:rsidRPr="00B82A07">
        <w:rPr>
          <w:rStyle w:val="Heading2Char"/>
          <w:b/>
        </w:rPr>
        <w:t xml:space="preserve"> Sikap</w:t>
      </w:r>
      <w:bookmarkEnd w:id="19"/>
      <w:r>
        <w:rPr>
          <w:rStyle w:val="Heading2Char"/>
          <w:b/>
        </w:rPr>
        <w:tab/>
      </w:r>
    </w:p>
    <w:p w:rsidR="008607C4" w:rsidRDefault="008607C4" w:rsidP="008607C4">
      <w:pPr>
        <w:spacing w:after="120" w:line="360" w:lineRule="auto"/>
        <w:ind w:firstLine="576"/>
      </w:pPr>
      <w:r w:rsidRPr="00EA54BB">
        <w:t xml:space="preserve">Sikap </w:t>
      </w:r>
      <w:r>
        <w:t>merupakan reaksi atau respon dari seseorang terhadap suatu objek. Sikap juga merupakan pandangan atau perasaan disertai kecenderungan untuk bertindak sesuai dengan sikap yang di tuju. Sikap adalah respon tertutup seseorang terhadap stimulus atau objek tertentu yang sudah melibatkan faktor pendapat dan emosi yang bersangkutan (senang-tidak senang, setuju tidak setuju, baik-tidak baik, dan sebagainya). (Notoadmojo, 2010).</w:t>
      </w:r>
    </w:p>
    <w:p w:rsidR="008607C4" w:rsidRPr="00061A98" w:rsidRDefault="008607C4" w:rsidP="008607C4">
      <w:pPr>
        <w:spacing w:after="0" w:line="360" w:lineRule="auto"/>
        <w:ind w:firstLine="720"/>
        <w:jc w:val="center"/>
      </w:pPr>
      <w:r w:rsidRPr="00061A98">
        <w:rPr>
          <w:b/>
        </w:rPr>
        <w:t>Tabel 5. Distribusi Frekuensi Berdasarkan Sikap</w:t>
      </w:r>
    </w:p>
    <w:tbl>
      <w:tblPr>
        <w:tblStyle w:val="ListTable6Colorful"/>
        <w:tblW w:w="7933" w:type="dxa"/>
        <w:shd w:val="clear" w:color="auto" w:fill="FFFFFF" w:themeFill="background1"/>
        <w:tblLook w:val="04A0" w:firstRow="1" w:lastRow="0" w:firstColumn="1" w:lastColumn="0" w:noHBand="0" w:noVBand="1"/>
      </w:tblPr>
      <w:tblGrid>
        <w:gridCol w:w="2254"/>
        <w:gridCol w:w="2703"/>
        <w:gridCol w:w="2976"/>
      </w:tblGrid>
      <w:tr w:rsidR="008607C4" w:rsidRPr="00061A98" w:rsidTr="003F7BA5">
        <w:trPr>
          <w:cnfStyle w:val="100000000000" w:firstRow="1" w:lastRow="0" w:firstColumn="0" w:lastColumn="0" w:oddVBand="0" w:evenVBand="0" w:oddHBand="0" w:evenHBand="0" w:firstRowFirstColumn="0" w:firstRowLastColumn="0" w:lastRowFirstColumn="0" w:lastRowLastColumn="0"/>
          <w:trHeight w:val="417"/>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rsidR="008607C4" w:rsidRPr="004E5DE0" w:rsidRDefault="008607C4" w:rsidP="003F7BA5">
            <w:pPr>
              <w:jc w:val="center"/>
            </w:pPr>
            <w:r w:rsidRPr="004E5DE0">
              <w:t>Karakteristik</w:t>
            </w:r>
          </w:p>
        </w:tc>
        <w:tc>
          <w:tcPr>
            <w:tcW w:w="2703" w:type="dxa"/>
            <w:shd w:val="clear" w:color="auto" w:fill="FFFFFF" w:themeFill="background1"/>
          </w:tcPr>
          <w:p w:rsidR="008607C4" w:rsidRPr="004E5DE0" w:rsidRDefault="008607C4" w:rsidP="003F7BA5">
            <w:pPr>
              <w:jc w:val="center"/>
              <w:cnfStyle w:val="100000000000" w:firstRow="1" w:lastRow="0" w:firstColumn="0" w:lastColumn="0" w:oddVBand="0" w:evenVBand="0" w:oddHBand="0" w:evenHBand="0" w:firstRowFirstColumn="0" w:firstRowLastColumn="0" w:lastRowFirstColumn="0" w:lastRowLastColumn="0"/>
            </w:pPr>
            <w:r>
              <w:t>n</w:t>
            </w:r>
          </w:p>
        </w:tc>
        <w:tc>
          <w:tcPr>
            <w:tcW w:w="2976" w:type="dxa"/>
            <w:shd w:val="clear" w:color="auto" w:fill="FFFFFF" w:themeFill="background1"/>
          </w:tcPr>
          <w:p w:rsidR="008607C4" w:rsidRPr="004E5DE0" w:rsidRDefault="008607C4" w:rsidP="003F7BA5">
            <w:pPr>
              <w:jc w:val="center"/>
              <w:cnfStyle w:val="100000000000" w:firstRow="1" w:lastRow="0" w:firstColumn="0" w:lastColumn="0" w:oddVBand="0" w:evenVBand="0" w:oddHBand="0" w:evenHBand="0" w:firstRowFirstColumn="0" w:firstRowLastColumn="0" w:lastRowFirstColumn="0" w:lastRowLastColumn="0"/>
            </w:pPr>
            <w:r>
              <w:t>%</w:t>
            </w:r>
          </w:p>
        </w:tc>
      </w:tr>
      <w:tr w:rsidR="008607C4" w:rsidRPr="00BF12AC" w:rsidTr="003F7BA5">
        <w:trPr>
          <w:cnfStyle w:val="000000100000" w:firstRow="0" w:lastRow="0" w:firstColumn="0" w:lastColumn="0" w:oddVBand="0" w:evenVBand="0" w:oddHBand="1" w:evenHBand="0" w:firstRowFirstColumn="0" w:firstRowLastColumn="0" w:lastRowFirstColumn="0" w:lastRowLastColumn="0"/>
          <w:trHeight w:val="939"/>
        </w:trPr>
        <w:tc>
          <w:tcPr>
            <w:cnfStyle w:val="001000000000" w:firstRow="0" w:lastRow="0" w:firstColumn="1" w:lastColumn="0" w:oddVBand="0" w:evenVBand="0" w:oddHBand="0" w:evenHBand="0" w:firstRowFirstColumn="0" w:firstRowLastColumn="0" w:lastRowFirstColumn="0" w:lastRowLastColumn="0"/>
            <w:tcW w:w="2254" w:type="dxa"/>
            <w:shd w:val="clear" w:color="auto" w:fill="FFFFFF" w:themeFill="background1"/>
          </w:tcPr>
          <w:p w:rsidR="008607C4" w:rsidRPr="004E5DE0" w:rsidRDefault="008607C4" w:rsidP="003F7BA5">
            <w:pPr>
              <w:jc w:val="center"/>
              <w:rPr>
                <w:b w:val="0"/>
              </w:rPr>
            </w:pPr>
            <w:r w:rsidRPr="004E5DE0">
              <w:rPr>
                <w:b w:val="0"/>
              </w:rPr>
              <w:t>Positif</w:t>
            </w:r>
          </w:p>
          <w:p w:rsidR="008607C4" w:rsidRPr="004E5DE0" w:rsidRDefault="008607C4" w:rsidP="003F7BA5">
            <w:pPr>
              <w:pStyle w:val="ListParagraph"/>
              <w:ind w:left="0"/>
              <w:jc w:val="center"/>
              <w:rPr>
                <w:b w:val="0"/>
              </w:rPr>
            </w:pPr>
            <w:r w:rsidRPr="004E5DE0">
              <w:rPr>
                <w:b w:val="0"/>
              </w:rPr>
              <w:t>Negatif</w:t>
            </w:r>
          </w:p>
          <w:p w:rsidR="008607C4" w:rsidRPr="004E5DE0" w:rsidRDefault="008607C4" w:rsidP="003F7BA5">
            <w:pPr>
              <w:pStyle w:val="ListParagraph"/>
              <w:ind w:left="0"/>
              <w:jc w:val="center"/>
            </w:pPr>
            <w:r w:rsidRPr="004E5DE0">
              <w:t xml:space="preserve">Total </w:t>
            </w:r>
          </w:p>
        </w:tc>
        <w:tc>
          <w:tcPr>
            <w:tcW w:w="2703" w:type="dxa"/>
            <w:shd w:val="clear" w:color="auto" w:fill="FFFFFF" w:themeFill="background1"/>
          </w:tcPr>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t>55</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t>12</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rPr>
                <w:b/>
              </w:rPr>
              <w:t>67</w:t>
            </w:r>
          </w:p>
        </w:tc>
        <w:tc>
          <w:tcPr>
            <w:tcW w:w="2976" w:type="dxa"/>
            <w:shd w:val="clear" w:color="auto" w:fill="FFFFFF" w:themeFill="background1"/>
          </w:tcPr>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t>82.1%</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t>17.9%</w:t>
            </w:r>
          </w:p>
          <w:p w:rsidR="008607C4" w:rsidRPr="004E5DE0"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4E5DE0">
              <w:rPr>
                <w:b/>
              </w:rPr>
              <w:t>100</w:t>
            </w:r>
          </w:p>
        </w:tc>
      </w:tr>
    </w:tbl>
    <w:p w:rsidR="008607C4" w:rsidRDefault="008607C4" w:rsidP="008607C4">
      <w:pPr>
        <w:spacing w:before="240" w:after="0" w:line="360" w:lineRule="auto"/>
        <w:ind w:firstLine="576"/>
      </w:pPr>
      <w:r>
        <w:t xml:space="preserve">Berdasarkan tabel 5, siswi yang memiliki sikap positif sebanyak 82.1%, dan sikap negatif 17.9%. Faktor yang dapat </w:t>
      </w:r>
      <w:r w:rsidRPr="00706C2E">
        <w:t>mempengaruhi</w:t>
      </w:r>
      <w:r>
        <w:t xml:space="preserve"> ditandai dengan sikap yang baik, menurut Azwar (2007) yang dapat mempengaruhi yaitu keluarga, kebiasaan dan lingkungan. Sikap positif apabila sikap memiliki kecenderungan untuk mendekati, menyenangi objek tertentu. Responden dengan sikap negatif yaitu 17.9%, mereka kurang mengetahui sikap apa yang dilakukan ketika terkena anemia, mereka kurang setuju dengan program pemberian tablet tambah darah tersebut, dengan alasan rasa dan baunya tidak enak, selain itu umumnya juga mereka tidak setuju program ini dapat mencegah remaja putri mengalami anemia dan mereka juga menganggap bahwa anemia ini bukan masalah berbahaya bagi kesehatan. Sikap dapat bersifat buruk (negatif) apabila dalam bertindak cenderung untuk menjauhi, menghindari dan tidak menyukai. Sikap yang membentuk remaja putri dalam mengonsumsi tablet tambah darah dapat terjadi melalui pengetahuan yang dipercayai oleh remaja yang didapat melalui kepercayaan tentang penilaian terhadap tablet tambah darah yang terbentuk sebuah opini remaja tentang konsumsi tablet tambah darah. </w:t>
      </w:r>
    </w:p>
    <w:p w:rsidR="008607C4" w:rsidRDefault="008607C4" w:rsidP="008607C4">
      <w:pPr>
        <w:spacing w:line="360" w:lineRule="auto"/>
        <w:ind w:firstLine="576"/>
      </w:pPr>
      <w:r>
        <w:t xml:space="preserve">Merujuk pada penelitian </w:t>
      </w:r>
      <w:r w:rsidRPr="007C7468">
        <w:t>(Dewi, 2020)</w:t>
      </w:r>
      <w:r>
        <w:t xml:space="preserve"> pada penelitian yang telah dilakukan sebagian besar siswi memiliki sikap baik tentang konsumsi tablet tambah darah. Sikap </w:t>
      </w:r>
      <w:r>
        <w:lastRenderedPageBreak/>
        <w:t xml:space="preserve">yang dimiliki dipengaruhi dari berupa penyuluhan yang dilakukan oleh petugas kesehatan, pengaruh budaya serta lingkungan. </w:t>
      </w:r>
    </w:p>
    <w:p w:rsidR="008607C4" w:rsidRPr="00D6096F" w:rsidRDefault="008607C4" w:rsidP="008607C4">
      <w:pPr>
        <w:spacing w:after="120"/>
        <w:jc w:val="center"/>
        <w:rPr>
          <w:b/>
        </w:rPr>
      </w:pPr>
      <w:r w:rsidRPr="00D6096F">
        <w:rPr>
          <w:b/>
        </w:rPr>
        <w:t>Tabel 6. Sebaran Pertanyaan Sikap</w:t>
      </w:r>
    </w:p>
    <w:tbl>
      <w:tblPr>
        <w:tblStyle w:val="ListTable6Colorful"/>
        <w:tblW w:w="7933" w:type="dxa"/>
        <w:tblLayout w:type="fixed"/>
        <w:tblLook w:val="04A0" w:firstRow="1" w:lastRow="0" w:firstColumn="1" w:lastColumn="0" w:noHBand="0" w:noVBand="1"/>
      </w:tblPr>
      <w:tblGrid>
        <w:gridCol w:w="576"/>
        <w:gridCol w:w="4664"/>
        <w:gridCol w:w="1276"/>
        <w:gridCol w:w="1417"/>
      </w:tblGrid>
      <w:tr w:rsidR="008607C4" w:rsidRPr="005C60A9" w:rsidTr="003F7BA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vMerge w:val="restart"/>
            <w:shd w:val="clear" w:color="auto" w:fill="FFFFFF" w:themeFill="background1"/>
          </w:tcPr>
          <w:p w:rsidR="008607C4" w:rsidRPr="00753F9E" w:rsidRDefault="008607C4" w:rsidP="003F7BA5">
            <w:pPr>
              <w:rPr>
                <w:rStyle w:val="Heading2Char"/>
                <w:b/>
              </w:rPr>
            </w:pPr>
            <w:r w:rsidRPr="00753F9E">
              <w:rPr>
                <w:rStyle w:val="Heading2Char"/>
                <w:b/>
              </w:rPr>
              <w:t>NO</w:t>
            </w:r>
          </w:p>
        </w:tc>
        <w:tc>
          <w:tcPr>
            <w:tcW w:w="4664" w:type="dxa"/>
            <w:vMerge w:val="restart"/>
            <w:shd w:val="clear" w:color="auto" w:fill="FFFFFF" w:themeFill="background1"/>
          </w:tcPr>
          <w:p w:rsidR="008607C4" w:rsidRPr="00753F9E" w:rsidRDefault="008607C4" w:rsidP="003F7BA5">
            <w:pPr>
              <w:jc w:val="center"/>
              <w:cnfStyle w:val="100000000000" w:firstRow="1" w:lastRow="0" w:firstColumn="0" w:lastColumn="0" w:oddVBand="0" w:evenVBand="0" w:oddHBand="0" w:evenHBand="0" w:firstRowFirstColumn="0" w:firstRowLastColumn="0" w:lastRowFirstColumn="0" w:lastRowLastColumn="0"/>
              <w:rPr>
                <w:rStyle w:val="Heading2Char"/>
                <w:b/>
              </w:rPr>
            </w:pPr>
            <w:r w:rsidRPr="00753F9E">
              <w:rPr>
                <w:rStyle w:val="Heading2Char"/>
                <w:b/>
              </w:rPr>
              <w:t>Pertanyaan</w:t>
            </w:r>
          </w:p>
        </w:tc>
        <w:tc>
          <w:tcPr>
            <w:tcW w:w="2693" w:type="dxa"/>
            <w:gridSpan w:val="2"/>
            <w:shd w:val="clear" w:color="auto" w:fill="FFFFFF" w:themeFill="background1"/>
          </w:tcPr>
          <w:p w:rsidR="008607C4" w:rsidRPr="00753F9E" w:rsidRDefault="008607C4" w:rsidP="003F7BA5">
            <w:pPr>
              <w:jc w:val="center"/>
              <w:cnfStyle w:val="100000000000" w:firstRow="1" w:lastRow="0" w:firstColumn="0" w:lastColumn="0" w:oddVBand="0" w:evenVBand="0" w:oddHBand="0" w:evenHBand="0" w:firstRowFirstColumn="0" w:firstRowLastColumn="0" w:lastRowFirstColumn="0" w:lastRowLastColumn="0"/>
              <w:rPr>
                <w:rStyle w:val="Heading2Char"/>
                <w:b/>
              </w:rPr>
            </w:pPr>
            <w:r w:rsidRPr="00753F9E">
              <w:rPr>
                <w:rStyle w:val="Heading2Char"/>
                <w:b/>
              </w:rPr>
              <w:t xml:space="preserve">Positif </w:t>
            </w:r>
          </w:p>
        </w:tc>
      </w:tr>
      <w:tr w:rsidR="008607C4" w:rsidRPr="005C60A9" w:rsidTr="003F7BA5">
        <w:trPr>
          <w:cnfStyle w:val="000000100000" w:firstRow="0" w:lastRow="0" w:firstColumn="0" w:lastColumn="0" w:oddVBand="0" w:evenVBand="0" w:oddHBand="1" w:evenHBand="0" w:firstRowFirstColumn="0" w:firstRowLastColumn="0" w:lastRowFirstColumn="0" w:lastRowLastColumn="0"/>
          <w:trHeight w:val="367"/>
        </w:trPr>
        <w:tc>
          <w:tcPr>
            <w:cnfStyle w:val="001000000000" w:firstRow="0" w:lastRow="0" w:firstColumn="1" w:lastColumn="0" w:oddVBand="0" w:evenVBand="0" w:oddHBand="0" w:evenHBand="0" w:firstRowFirstColumn="0" w:firstRowLastColumn="0" w:lastRowFirstColumn="0" w:lastRowLastColumn="0"/>
            <w:tcW w:w="576" w:type="dxa"/>
            <w:vMerge/>
            <w:shd w:val="clear" w:color="auto" w:fill="FFFFFF" w:themeFill="background1"/>
          </w:tcPr>
          <w:p w:rsidR="008607C4" w:rsidRPr="005C60A9" w:rsidRDefault="008607C4" w:rsidP="003F7BA5">
            <w:pPr>
              <w:rPr>
                <w:rStyle w:val="Heading2Char"/>
              </w:rPr>
            </w:pPr>
          </w:p>
        </w:tc>
        <w:tc>
          <w:tcPr>
            <w:tcW w:w="4664" w:type="dxa"/>
            <w:vMerge/>
            <w:shd w:val="clear" w:color="auto" w:fill="FFFFFF" w:themeFill="background1"/>
          </w:tcPr>
          <w:p w:rsidR="008607C4" w:rsidRPr="005C60A9" w:rsidRDefault="008607C4" w:rsidP="003F7BA5">
            <w:pPr>
              <w:cnfStyle w:val="000000100000" w:firstRow="0" w:lastRow="0" w:firstColumn="0" w:lastColumn="0" w:oddVBand="0" w:evenVBand="0" w:oddHBand="1" w:evenHBand="0" w:firstRowFirstColumn="0" w:firstRowLastColumn="0" w:lastRowFirstColumn="0" w:lastRowLastColumn="0"/>
              <w:rPr>
                <w:rStyle w:val="Heading2Char"/>
              </w:rPr>
            </w:pPr>
          </w:p>
        </w:tc>
        <w:tc>
          <w:tcPr>
            <w:tcW w:w="1276" w:type="dxa"/>
            <w:shd w:val="clear" w:color="auto" w:fill="FFFFFF" w:themeFill="background1"/>
          </w:tcPr>
          <w:p w:rsidR="008607C4" w:rsidRPr="005C60A9"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rPr>
            </w:pPr>
            <w:r>
              <w:rPr>
                <w:rStyle w:val="Heading2Char"/>
              </w:rPr>
              <w:t>n</w:t>
            </w:r>
          </w:p>
        </w:tc>
        <w:tc>
          <w:tcPr>
            <w:tcW w:w="1417" w:type="dxa"/>
            <w:shd w:val="clear" w:color="auto" w:fill="FFFFFF" w:themeFill="background1"/>
          </w:tcPr>
          <w:p w:rsidR="008607C4" w:rsidRPr="005C60A9"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rPr>
            </w:pPr>
            <w:r>
              <w:rPr>
                <w:rStyle w:val="Heading2Char"/>
              </w:rPr>
              <w:t>%</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1. </w:t>
            </w:r>
          </w:p>
        </w:tc>
        <w:tc>
          <w:tcPr>
            <w:tcW w:w="4664"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Anemia sering terjadi pada remaja putri</w:t>
            </w:r>
          </w:p>
        </w:tc>
        <w:tc>
          <w:tcPr>
            <w:tcW w:w="1276"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65</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97</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2. </w:t>
            </w:r>
          </w:p>
        </w:tc>
        <w:tc>
          <w:tcPr>
            <w:tcW w:w="4664"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Jika merasakan gejala seperti lemah, letih, dan lesu kita akan merasa khawatir</w:t>
            </w:r>
          </w:p>
        </w:tc>
        <w:tc>
          <w:tcPr>
            <w:tcW w:w="1276"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62</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92,5</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3.</w:t>
            </w:r>
          </w:p>
        </w:tc>
        <w:tc>
          <w:tcPr>
            <w:tcW w:w="4664"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 xml:space="preserve">Jika konsentrasi belajar terganggu merupakan salah satu dampak dari anemia </w:t>
            </w:r>
          </w:p>
        </w:tc>
        <w:tc>
          <w:tcPr>
            <w:tcW w:w="1276"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59</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88,1</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4. </w:t>
            </w:r>
          </w:p>
        </w:tc>
        <w:tc>
          <w:tcPr>
            <w:tcW w:w="4664"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Sebaiknya mengonsumsi tablet tambah darah untuk mencegah terjadi anemia</w:t>
            </w:r>
          </w:p>
        </w:tc>
        <w:tc>
          <w:tcPr>
            <w:tcW w:w="1276"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57</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85,1</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5.</w:t>
            </w:r>
          </w:p>
        </w:tc>
        <w:tc>
          <w:tcPr>
            <w:tcW w:w="4664"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 xml:space="preserve">Anemia bukan masalah kesehatan yang berbahaya bagi tubuh </w:t>
            </w:r>
          </w:p>
        </w:tc>
        <w:tc>
          <w:tcPr>
            <w:tcW w:w="1276"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55</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82,1</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6. </w:t>
            </w:r>
          </w:p>
        </w:tc>
        <w:tc>
          <w:tcPr>
            <w:tcW w:w="4664"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Menurut anda jika sudah menemukan gejala anemia sebaiknya diamkan saja</w:t>
            </w:r>
          </w:p>
        </w:tc>
        <w:tc>
          <w:tcPr>
            <w:tcW w:w="1276"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55</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82,1</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7. </w:t>
            </w:r>
          </w:p>
        </w:tc>
        <w:tc>
          <w:tcPr>
            <w:tcW w:w="4664"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 xml:space="preserve">Setiap pagi dianjurkan sarapan sebelum berangkat sekolah menghindari terjadinya anemia </w:t>
            </w:r>
          </w:p>
        </w:tc>
        <w:tc>
          <w:tcPr>
            <w:tcW w:w="1276"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60</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89,6</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8. </w:t>
            </w:r>
          </w:p>
        </w:tc>
        <w:tc>
          <w:tcPr>
            <w:tcW w:w="4664"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 xml:space="preserve">Tablet tambah darah akan efektif sebagai salah satu perbaikan gizi apabila diminum sesuai aturan </w:t>
            </w:r>
          </w:p>
        </w:tc>
        <w:tc>
          <w:tcPr>
            <w:tcW w:w="1276"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58</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86,6</w:t>
            </w:r>
          </w:p>
        </w:tc>
      </w:tr>
      <w:tr w:rsidR="008607C4" w:rsidTr="003F7BA5">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9.</w:t>
            </w:r>
          </w:p>
        </w:tc>
        <w:tc>
          <w:tcPr>
            <w:tcW w:w="4664" w:type="dxa"/>
            <w:shd w:val="clear" w:color="auto" w:fill="FFFFFF" w:themeFill="background1"/>
          </w:tcPr>
          <w:p w:rsidR="008607C4" w:rsidRDefault="008607C4" w:rsidP="003F7BA5">
            <w:pP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 xml:space="preserve">Kehilangan darah akibat menstruasi setiap bulan merupakan penyebab remaja putri beresiko anemia </w:t>
            </w:r>
          </w:p>
        </w:tc>
        <w:tc>
          <w:tcPr>
            <w:tcW w:w="1276"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60</w:t>
            </w:r>
          </w:p>
        </w:tc>
        <w:tc>
          <w:tcPr>
            <w:tcW w:w="1417" w:type="dxa"/>
            <w:shd w:val="clear" w:color="auto" w:fill="FFFFFF" w:themeFill="background1"/>
          </w:tcPr>
          <w:p w:rsidR="008607C4" w:rsidRDefault="008607C4" w:rsidP="003F7BA5">
            <w:pPr>
              <w:jc w:val="center"/>
              <w:cnfStyle w:val="000000000000" w:firstRow="0" w:lastRow="0" w:firstColumn="0" w:lastColumn="0" w:oddVBand="0" w:evenVBand="0" w:oddHBand="0" w:evenHBand="0" w:firstRowFirstColumn="0" w:firstRowLastColumn="0" w:lastRowFirstColumn="0" w:lastRowLastColumn="0"/>
              <w:rPr>
                <w:rStyle w:val="Heading2Char"/>
                <w:b w:val="0"/>
              </w:rPr>
            </w:pPr>
            <w:r>
              <w:rPr>
                <w:rStyle w:val="Heading2Char"/>
                <w:b w:val="0"/>
              </w:rPr>
              <w:t>89,6</w:t>
            </w:r>
          </w:p>
        </w:tc>
      </w:tr>
      <w:tr w:rsidR="008607C4"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 w:type="dxa"/>
            <w:shd w:val="clear" w:color="auto" w:fill="FFFFFF" w:themeFill="background1"/>
          </w:tcPr>
          <w:p w:rsidR="008607C4" w:rsidRDefault="008607C4" w:rsidP="003F7BA5">
            <w:pPr>
              <w:rPr>
                <w:rStyle w:val="Heading2Char"/>
                <w:b/>
              </w:rPr>
            </w:pPr>
            <w:r>
              <w:rPr>
                <w:rStyle w:val="Heading2Char"/>
              </w:rPr>
              <w:t xml:space="preserve">10. </w:t>
            </w:r>
          </w:p>
        </w:tc>
        <w:tc>
          <w:tcPr>
            <w:tcW w:w="4664" w:type="dxa"/>
            <w:shd w:val="clear" w:color="auto" w:fill="FFFFFF" w:themeFill="background1"/>
          </w:tcPr>
          <w:p w:rsidR="008607C4" w:rsidRDefault="008607C4" w:rsidP="003F7BA5">
            <w:pP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 xml:space="preserve">Konsumsi makanan sumber zat besi seperti daging, dan hati ayam dapat mencegah anemia. </w:t>
            </w:r>
          </w:p>
        </w:tc>
        <w:tc>
          <w:tcPr>
            <w:tcW w:w="1276"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57</w:t>
            </w:r>
          </w:p>
        </w:tc>
        <w:tc>
          <w:tcPr>
            <w:tcW w:w="1417" w:type="dxa"/>
            <w:shd w:val="clear" w:color="auto" w:fill="FFFFFF" w:themeFill="background1"/>
          </w:tcPr>
          <w:p w:rsidR="008607C4" w:rsidRDefault="008607C4" w:rsidP="003F7BA5">
            <w:pPr>
              <w:jc w:val="center"/>
              <w:cnfStyle w:val="000000100000" w:firstRow="0" w:lastRow="0" w:firstColumn="0" w:lastColumn="0" w:oddVBand="0" w:evenVBand="0" w:oddHBand="1" w:evenHBand="0" w:firstRowFirstColumn="0" w:firstRowLastColumn="0" w:lastRowFirstColumn="0" w:lastRowLastColumn="0"/>
              <w:rPr>
                <w:rStyle w:val="Heading2Char"/>
                <w:b w:val="0"/>
              </w:rPr>
            </w:pPr>
            <w:r>
              <w:rPr>
                <w:rStyle w:val="Heading2Char"/>
                <w:b w:val="0"/>
              </w:rPr>
              <w:t>85,1</w:t>
            </w:r>
          </w:p>
        </w:tc>
      </w:tr>
    </w:tbl>
    <w:p w:rsidR="008607C4" w:rsidRDefault="008607C4" w:rsidP="008607C4">
      <w:pPr>
        <w:spacing w:before="240" w:line="360" w:lineRule="auto"/>
      </w:pPr>
      <w:bookmarkStart w:id="20" w:name="_Toc136080200"/>
      <w:r>
        <w:lastRenderedPageBreak/>
        <w:tab/>
        <w:t xml:space="preserve">Berdasarkan tabel 5, berdasarkan sebaran pertanyaan responden sudah menunjukan sikap positif seperti mereka sudah mengetahui gejala dari anemia, pentingnya mengonsumsi TTD sesuai aturan untuk konsumsi tamblet tambah darah dianjurkan konsumsi 1 kali dalam seminggu atau 4 tablet dalam sebulan. </w:t>
      </w:r>
      <w:r w:rsidRPr="00025E11">
        <w:t xml:space="preserve">Jika tidak patuh remaja putri </w:t>
      </w:r>
      <w:r>
        <w:t>mengkonsumsi tablet tambah d</w:t>
      </w:r>
      <w:r w:rsidRPr="00025E11">
        <w:t xml:space="preserve">arah tidak </w:t>
      </w:r>
      <w:r>
        <w:t>teratur dan tidak menghabiskan tablet tambah d</w:t>
      </w:r>
      <w:r w:rsidRPr="00025E11">
        <w:t>arah yang diberikan.</w:t>
      </w:r>
      <w:r w:rsidRPr="006F26E3">
        <w:rPr>
          <w:sz w:val="22"/>
        </w:rPr>
        <w:t xml:space="preserve"> </w:t>
      </w:r>
      <w:r>
        <w:t xml:space="preserve">Makanan dengan sumber zat besi untuk mencegah anemia, makanan sumber zat besi seperti daging sapi, ikan, hati ayam dan diimbangi dengan konsumsi sayuran dan buah-buahan. Sikap negatif responden menganggap bahwa anemia bukan masalah berbahaya bagi tubuh dan responden kurang setuju dengan program pemberian tablet tambah darah dikarenakan TTD memiliki rasa dan bau tidak enak sehingga remaja putri jarang mengonsumsi TTD.  </w:t>
      </w:r>
    </w:p>
    <w:p w:rsidR="008607C4" w:rsidRDefault="008607C4" w:rsidP="008607C4">
      <w:pPr>
        <w:pStyle w:val="Heading2"/>
        <w:numPr>
          <w:ilvl w:val="0"/>
          <w:numId w:val="0"/>
        </w:numPr>
        <w:spacing w:after="120"/>
      </w:pPr>
      <w:r>
        <w:t>5.5</w:t>
      </w:r>
      <w:r w:rsidRPr="00B82A07">
        <w:t xml:space="preserve"> Konsumsi Tablet Tambah Darah</w:t>
      </w:r>
      <w:bookmarkEnd w:id="20"/>
      <w:r w:rsidRPr="00B82A07">
        <w:t xml:space="preserve"> </w:t>
      </w:r>
    </w:p>
    <w:p w:rsidR="008607C4" w:rsidRPr="003520A7" w:rsidRDefault="008607C4" w:rsidP="008607C4">
      <w:pPr>
        <w:spacing w:line="360" w:lineRule="auto"/>
        <w:ind w:firstLine="576"/>
      </w:pPr>
      <w:r>
        <w:t xml:space="preserve">Pentingnya konsumsi tablet tambah darah bagi remaja putri dapat mencegah anemia. Pemberian TTD merupakan </w:t>
      </w:r>
      <w:proofErr w:type="gramStart"/>
      <w:r>
        <w:t>cara</w:t>
      </w:r>
      <w:proofErr w:type="gramEnd"/>
      <w:r>
        <w:t xml:space="preserve"> yang efektif untuk mengatasi masalah anemia. Anemia pada remaja dapat menghambat perkembangan psikomotor, merusak kinerja kognitif, dan kinerja skolastik. Oleh sebab itu masalah anemia ini harus dapat dicegah dan diatasi ketika masih remaja karena remaja </w:t>
      </w:r>
      <w:proofErr w:type="gramStart"/>
      <w:r>
        <w:t>akan</w:t>
      </w:r>
      <w:proofErr w:type="gramEnd"/>
      <w:r>
        <w:t xml:space="preserve"> menjadi ibu hamil nantinya. Remaja putri yang menikah di usia muda, anemia dan kurus, apabila hamil akan berisiko melahirkan BBLR dengan berbagai masalah keselamatan dan kesehatan janin </w:t>
      </w:r>
      <w:r>
        <w:fldChar w:fldCharType="begin" w:fldLock="1"/>
      </w:r>
      <w:r>
        <w:instrText>ADDIN CSL_CITATION {"citationItems":[{"id":"ITEM-1","itemData":{"DOI":"10.24853/jkk.15.2.119-129","ISSN":"0216-3942","abstract":"Anemia Gizi Besi (AGB) mempunyai dampak yang serius, baik pada ibu hamil maupun pada remaja. Sangat penting mengatasi anemia pada remaja putri agar masalah anemia tidak berlanjut ketika hamil, salah satunya dengan mengonsumsi Tablet Tambah Darah (TTD) yang mengandung 60 mg Fe elemental dan 0,4 mg asam folat. Penelitian ini bertujuan untuk melihat faktor-faktor apa saja yang berhubungan dengan konsumsi TTD pada remaja putri di Indonesia. Studi penelitian ini adalah literatur review dengan mengekstrak semua penelitian di Indonesia tentang faktor-faktor yang berhubungan dengan konsumsi TTD pada remaja putri (11-19 tahun) di Indonesia. Hasil analisis menunjukkan bahwa faktor-faktor yang berhubungan dengan konsumsi TTD pada remaja putri di Indonesia yaitu dukungan guru (p=0,000 OR=4,7), sikap (p=0,031 OR=2,192), budaya (p=0,012 OR=2,517), dukungan keluarga (p=0,029), perceived threat (p=0,02), perceived benefit (p=0,01), perceived barrier (p=0,02), dan self efficacy (p=0,00). Faktor yang tidak berhubungan yaitu pengetahuan, daya beli, ketersediaan, dukungan orang tua, pendapatan orang tua, perceived susceptibility (persepsi kerentanan), seriousness (keseriusan/keparahan). Faktor yang paling banyak diteliti yaitu tentang pengetahuan dan dukungan orang tua. Faktor-faktor yang berhubungan dengan kepatuhan remaja putri dalam mengonsumsi TTD di Indonesia yaitu dukungan guru, sikap, budaya, dukungan keluarga, perceived threat (ancaman yang dirasakan),  perceived benefit (manfaat yang dirasakan), perceived barrier (hambatan yang dirasakan), dan self efficacy. Kata kunci: konsumsi tablet tambah darah, remaja putri, anemia ","author":[{"dropping-particle":"","family":"Amir","given":"Nelda","non-dropping-particle":"","parse-names":false,"suffix":""},{"dropping-particle":"","family":"Djokosujono","given":"Kusharisupeni","non-dropping-particle":"","parse-names":false,"suffix":""}],"container-title":"Jurnal Kedokteran dan Kesehatan","id":"ITEM-1","issue":"2","issued":{"date-parts":[["2019"]]},"page":"119","title":"Faktor-Faktor yang Berhubungan dengan Konsumsi Tablet Tambah Darah (TTD) pada Remaja Putri di Indonesia: Literatur Review","type":"article-journal","volume":"15"},"uris":["http://www.mendeley.com/documents/?uuid=2d3726a9-bfe8-4bfc-8fea-d809aaff8722"]}],"mendeley":{"formattedCitation":"(Amir &amp; Djokosujono, 2019)","plainTextFormattedCitation":"(Amir &amp; Djokosujono, 2019)","previouslyFormattedCitation":"(Amir &amp; Djokosujono, 2019)"},"properties":{"noteIndex":0},"schema":"https://github.com/citation-style-language/schema/raw/master/csl-citation.json"}</w:instrText>
      </w:r>
      <w:r>
        <w:fldChar w:fldCharType="separate"/>
      </w:r>
      <w:r w:rsidRPr="00B4222E">
        <w:rPr>
          <w:noProof/>
        </w:rPr>
        <w:t>(Amir &amp; Djokosujono, 2019)</w:t>
      </w:r>
      <w:r>
        <w:fldChar w:fldCharType="end"/>
      </w:r>
      <w:r>
        <w:t>.</w:t>
      </w:r>
    </w:p>
    <w:p w:rsidR="008607C4" w:rsidRPr="00A91EA8" w:rsidRDefault="008607C4" w:rsidP="008607C4">
      <w:pPr>
        <w:spacing w:after="0" w:line="360" w:lineRule="auto"/>
        <w:ind w:firstLine="576"/>
        <w:jc w:val="center"/>
        <w:rPr>
          <w:b/>
        </w:rPr>
      </w:pPr>
      <w:r w:rsidRPr="00A91EA8">
        <w:rPr>
          <w:b/>
        </w:rPr>
        <w:t>Tab</w:t>
      </w:r>
      <w:r>
        <w:rPr>
          <w:b/>
        </w:rPr>
        <w:t>el 7. Distribusi Frekuensi Berdasarkan Konsumsi TTD</w:t>
      </w:r>
    </w:p>
    <w:tbl>
      <w:tblPr>
        <w:tblStyle w:val="ListTable6Colorful"/>
        <w:tblW w:w="7933" w:type="dxa"/>
        <w:shd w:val="clear" w:color="auto" w:fill="FFFFFF" w:themeFill="background1"/>
        <w:tblLook w:val="04A0" w:firstRow="1" w:lastRow="0" w:firstColumn="1" w:lastColumn="0" w:noHBand="0" w:noVBand="1"/>
      </w:tblPr>
      <w:tblGrid>
        <w:gridCol w:w="2410"/>
        <w:gridCol w:w="2551"/>
        <w:gridCol w:w="2972"/>
      </w:tblGrid>
      <w:tr w:rsidR="008607C4" w:rsidTr="003F7BA5">
        <w:trPr>
          <w:cnfStyle w:val="100000000000" w:firstRow="1" w:lastRow="0" w:firstColumn="0" w:lastColumn="0" w:oddVBand="0" w:evenVBand="0" w:oddHBand="0" w:evenHBand="0" w:firstRowFirstColumn="0" w:firstRowLastColumn="0" w:lastRowFirstColumn="0" w:lastRowLastColumn="0"/>
          <w:trHeight w:val="401"/>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8607C4" w:rsidRPr="00C82DC6" w:rsidRDefault="008607C4" w:rsidP="003F7BA5">
            <w:pPr>
              <w:pStyle w:val="ListParagraph"/>
              <w:ind w:left="0"/>
              <w:jc w:val="center"/>
            </w:pPr>
            <w:r w:rsidRPr="00C82DC6">
              <w:t>Karakteristik</w:t>
            </w:r>
          </w:p>
        </w:tc>
        <w:tc>
          <w:tcPr>
            <w:tcW w:w="2551" w:type="dxa"/>
            <w:shd w:val="clear" w:color="auto" w:fill="FFFFFF" w:themeFill="background1"/>
          </w:tcPr>
          <w:p w:rsidR="008607C4" w:rsidRPr="00C82DC6" w:rsidRDefault="008607C4" w:rsidP="003F7BA5">
            <w:pPr>
              <w:pStyle w:val="ListParagraph"/>
              <w:ind w:left="0"/>
              <w:jc w:val="center"/>
              <w:cnfStyle w:val="100000000000" w:firstRow="1" w:lastRow="0" w:firstColumn="0" w:lastColumn="0" w:oddVBand="0" w:evenVBand="0" w:oddHBand="0" w:evenHBand="0" w:firstRowFirstColumn="0" w:firstRowLastColumn="0" w:lastRowFirstColumn="0" w:lastRowLastColumn="0"/>
            </w:pPr>
            <w:r>
              <w:t>n</w:t>
            </w:r>
          </w:p>
        </w:tc>
        <w:tc>
          <w:tcPr>
            <w:tcW w:w="2972" w:type="dxa"/>
            <w:shd w:val="clear" w:color="auto" w:fill="FFFFFF" w:themeFill="background1"/>
          </w:tcPr>
          <w:p w:rsidR="008607C4" w:rsidRPr="00C82DC6" w:rsidRDefault="008607C4" w:rsidP="003F7BA5">
            <w:pPr>
              <w:pStyle w:val="ListParagraph"/>
              <w:ind w:left="0"/>
              <w:jc w:val="center"/>
              <w:cnfStyle w:val="100000000000" w:firstRow="1" w:lastRow="0" w:firstColumn="0" w:lastColumn="0" w:oddVBand="0" w:evenVBand="0" w:oddHBand="0" w:evenHBand="0" w:firstRowFirstColumn="0" w:firstRowLastColumn="0" w:lastRowFirstColumn="0" w:lastRowLastColumn="0"/>
            </w:pPr>
            <w:r w:rsidRPr="00C82DC6">
              <w:t>%</w:t>
            </w:r>
          </w:p>
        </w:tc>
      </w:tr>
      <w:tr w:rsidR="008607C4" w:rsidTr="003F7BA5">
        <w:trPr>
          <w:cnfStyle w:val="000000100000" w:firstRow="0" w:lastRow="0" w:firstColumn="0" w:lastColumn="0" w:oddVBand="0" w:evenVBand="0" w:oddHBand="1" w:evenHBand="0" w:firstRowFirstColumn="0" w:firstRowLastColumn="0" w:lastRowFirstColumn="0" w:lastRowLastColumn="0"/>
          <w:trHeight w:val="772"/>
        </w:trPr>
        <w:tc>
          <w:tcPr>
            <w:cnfStyle w:val="001000000000" w:firstRow="0" w:lastRow="0" w:firstColumn="1" w:lastColumn="0" w:oddVBand="0" w:evenVBand="0" w:oddHBand="0" w:evenHBand="0" w:firstRowFirstColumn="0" w:firstRowLastColumn="0" w:lastRowFirstColumn="0" w:lastRowLastColumn="0"/>
            <w:tcW w:w="2410" w:type="dxa"/>
            <w:shd w:val="clear" w:color="auto" w:fill="FFFFFF" w:themeFill="background1"/>
          </w:tcPr>
          <w:p w:rsidR="008607C4" w:rsidRPr="00C82DC6" w:rsidRDefault="008607C4" w:rsidP="003F7BA5">
            <w:pPr>
              <w:pStyle w:val="ListParagraph"/>
              <w:ind w:left="0"/>
              <w:jc w:val="center"/>
              <w:rPr>
                <w:b w:val="0"/>
              </w:rPr>
            </w:pPr>
            <w:r w:rsidRPr="00C82DC6">
              <w:rPr>
                <w:b w:val="0"/>
              </w:rPr>
              <w:t xml:space="preserve">Patuh </w:t>
            </w:r>
          </w:p>
          <w:p w:rsidR="008607C4" w:rsidRPr="00C82DC6" w:rsidRDefault="008607C4" w:rsidP="003F7BA5">
            <w:pPr>
              <w:pStyle w:val="ListParagraph"/>
              <w:ind w:left="0"/>
              <w:jc w:val="center"/>
              <w:rPr>
                <w:b w:val="0"/>
              </w:rPr>
            </w:pPr>
            <w:r w:rsidRPr="00C82DC6">
              <w:rPr>
                <w:b w:val="0"/>
              </w:rPr>
              <w:t>Tidak Patuh</w:t>
            </w:r>
          </w:p>
          <w:p w:rsidR="008607C4" w:rsidRPr="00C82DC6" w:rsidRDefault="008607C4" w:rsidP="003F7BA5">
            <w:pPr>
              <w:pStyle w:val="ListParagraph"/>
              <w:ind w:left="0"/>
              <w:jc w:val="center"/>
            </w:pPr>
            <w:r w:rsidRPr="00C82DC6">
              <w:t>Total</w:t>
            </w:r>
          </w:p>
        </w:tc>
        <w:tc>
          <w:tcPr>
            <w:tcW w:w="2551" w:type="dxa"/>
            <w:shd w:val="clear" w:color="auto" w:fill="FFFFFF" w:themeFill="background1"/>
          </w:tcPr>
          <w:p w:rsidR="008607C4" w:rsidRPr="00C82DC6"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C82DC6">
              <w:t>29</w:t>
            </w:r>
          </w:p>
          <w:p w:rsidR="008607C4" w:rsidRPr="00C82DC6"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C82DC6">
              <w:t>38</w:t>
            </w:r>
          </w:p>
          <w:p w:rsidR="008607C4" w:rsidRPr="00C82DC6"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C82DC6">
              <w:rPr>
                <w:b/>
              </w:rPr>
              <w:t>67</w:t>
            </w:r>
          </w:p>
        </w:tc>
        <w:tc>
          <w:tcPr>
            <w:tcW w:w="2972" w:type="dxa"/>
            <w:shd w:val="clear" w:color="auto" w:fill="FFFFFF" w:themeFill="background1"/>
          </w:tcPr>
          <w:p w:rsidR="008607C4" w:rsidRPr="00C82DC6"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C82DC6">
              <w:t>43.3</w:t>
            </w:r>
          </w:p>
          <w:p w:rsidR="008607C4" w:rsidRPr="00C82DC6"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C82DC6">
              <w:t>56.7</w:t>
            </w:r>
          </w:p>
          <w:p w:rsidR="008607C4" w:rsidRPr="00C82DC6" w:rsidRDefault="008607C4" w:rsidP="003F7BA5">
            <w:pPr>
              <w:pStyle w:val="ListParagraph"/>
              <w:ind w:left="0"/>
              <w:jc w:val="center"/>
              <w:cnfStyle w:val="000000100000" w:firstRow="0" w:lastRow="0" w:firstColumn="0" w:lastColumn="0" w:oddVBand="0" w:evenVBand="0" w:oddHBand="1" w:evenHBand="0" w:firstRowFirstColumn="0" w:firstRowLastColumn="0" w:lastRowFirstColumn="0" w:lastRowLastColumn="0"/>
            </w:pPr>
            <w:r w:rsidRPr="00C82DC6">
              <w:rPr>
                <w:b/>
              </w:rPr>
              <w:t>100</w:t>
            </w:r>
          </w:p>
        </w:tc>
      </w:tr>
    </w:tbl>
    <w:p w:rsidR="008607C4" w:rsidRDefault="008607C4" w:rsidP="008607C4">
      <w:pPr>
        <w:spacing w:before="240" w:after="0" w:line="360" w:lineRule="auto"/>
        <w:ind w:firstLine="720"/>
      </w:pPr>
      <w:r>
        <w:t xml:space="preserve">Sebagian besar remaja putri tidak patuh dalam mengonsumsi tablet tambah darah yaitu sebesar 56.7%, meskipun memiliki pengetahuan yang baik, sikap yang baik belum tentu berperilaku patuh terhadap konsumsi tablet tambah darah. Semua remaja </w:t>
      </w:r>
      <w:r>
        <w:lastRenderedPageBreak/>
        <w:t xml:space="preserve">putri di SMPN 20 Pekanbaru menerima atau memperoleh tablet tambah darah petugas kesehatan Puskesmas, masing-masing remaja putri memperoleh sebanyak 4 tablet setiap bulan, </w:t>
      </w:r>
      <w:proofErr w:type="gramStart"/>
      <w:r>
        <w:t>namun</w:t>
      </w:r>
      <w:proofErr w:type="gramEnd"/>
      <w:r>
        <w:t xml:space="preserve"> sebagian besar remaja putri tidak mengonsumsinya. Sebanyak 43</w:t>
      </w:r>
      <w:proofErr w:type="gramStart"/>
      <w:r>
        <w:t>,3</w:t>
      </w:r>
      <w:proofErr w:type="gramEnd"/>
      <w:r>
        <w:t xml:space="preserve">% responden patuh, remaja putri yang mengonsumsi </w:t>
      </w:r>
      <w:r w:rsidRPr="00D62762">
        <w:t>4 tablet dalam 1 bulan</w:t>
      </w:r>
      <w:r>
        <w:t xml:space="preserve"> maka dikatakan patuh dan berdasarkan pertanyaan yang diberikan sebagian mereka rutin mengonsumsi tablet setiap seminggu sekali. </w:t>
      </w:r>
    </w:p>
    <w:p w:rsidR="008607C4" w:rsidRDefault="008607C4" w:rsidP="008607C4">
      <w:pPr>
        <w:spacing w:after="0" w:line="360" w:lineRule="auto"/>
        <w:ind w:firstLine="720"/>
      </w:pPr>
      <w:r>
        <w:t xml:space="preserve">Remaja putri yang tidak patuh dalam mengonsumsi TTD beralasan tidak enak, baunya tidak sedap, banyak diantara mereka beralasan lupa, serta ada yang mual/muntah apabila mengonsumsi tablet tambah darah. Adapun alasan tertinggi tidak mengonsumsi adalah bosan atau malas. Penyebab rendahnya kepatuhan konsumsi TTD adalah suplemen TTD dibekalkan ke rumah sehingga pengonsumsiannya tidak dapat ditinjau secara efektif. Peran orang tua serta guru disekolah untuk selalu mengingatkan akan pentingnya konsumsi tablet tambah darah perlu diharapkan </w:t>
      </w:r>
      <w:r>
        <w:fldChar w:fldCharType="begin" w:fldLock="1"/>
      </w:r>
      <w:r>
        <w:instrText>ADDIN CSL_CITATION {"citationItems":[{"id":"ITEM-1","itemData":{"abstract":"Latar Belakang: Prevalensi anemia remaja putri 2019 di SMP 27 Semarang adalah 3,7%. Salah satu upaya pencegahan anemia adalah mengonsumsi tablet tambah darah sesuai anjuran. Tujuan penelitian ini adalah untuk mengetahui hubungan persepsi remaja putri dengan kepatuhan konsumsi tablet tambah darah. Metode: Jenis penelitian ini adalah kuantitatif dengan rancangan cross sectional. Sampel dalam penelitian ini sejumlah 99 siswa perempuan kelas IX di SMP Negeri 27 Semarang, jenis pengambilan sampel Non-probability menggunakan metode secara purposive non-random sampling. Analisis data dilakukan secara univariat dan bivariate dengan uji chi square (α=0,05). Hasil: Hasil menunjukkan persepsi kerentanan (p=0,00), persepsi keseriusan (p=0,01), persepsi manfaat (p=0,01), persepsi hambatan (p=0,01), persepsi keyakinan diri (p=0,023) berhubungan terhadap kepatuhan konsumsi tablet tambah darah remaja pu- tri. Serta tidak terdapat hubungan antara pengetahuan (p= 0,93) terhadap kepatuhan konsumsi tablet tambah darah. Kesimpulan: Dari penelitian ini disimpulkan bahwa terapat hubungan antara persepsi kerentanan, persepsi keseriusan, persepsi manfaat, persepsi hamabatan, dan persepsi keyakinan terhadap kepatuhan konumsi tablet tambah darah pada remaja putri","author":[{"dropping-particle":"","family":"Lismiana","given":"Hamidah","non-dropping-particle":"","parse-names":false,"suffix":""},{"dropping-particle":"","family":"Indarjo","given":"Sofwan","non-dropping-particle":"","parse-names":false,"suffix":""}],"container-title":"Indonesian Journal of Public Health and Nutrition","id":"ITEM-1","issue":"1","issued":{"date-parts":[["2021"]]},"page":"22 - 30","title":"Pengetahuan dan persepsi remaja putri terhadap kepatuhan konsumsi tablet tambah darah","type":"article-journal","volume":"1"},"uris":["http://www.mendeley.com/documents/?uuid=003f5856-98b4-4319-93a2-74c40443d862"]}],"mendeley":{"formattedCitation":"(Lismiana &amp; Indarjo, 2021)","plainTextFormattedCitation":"(Lismiana &amp; Indarjo, 2021)","previouslyFormattedCitation":"(Lismiana &amp; Indarjo, 2021)"},"properties":{"noteIndex":0},"schema":"https://github.com/citation-style-language/schema/raw/master/csl-citation.json"}</w:instrText>
      </w:r>
      <w:r>
        <w:fldChar w:fldCharType="separate"/>
      </w:r>
      <w:r w:rsidRPr="00430828">
        <w:rPr>
          <w:noProof/>
        </w:rPr>
        <w:t>(Lismiana &amp; Indarjo, 2021)</w:t>
      </w:r>
      <w:r>
        <w:fldChar w:fldCharType="end"/>
      </w:r>
      <w:r>
        <w:t xml:space="preserve">. </w:t>
      </w:r>
    </w:p>
    <w:p w:rsidR="008607C4" w:rsidRDefault="008607C4" w:rsidP="008607C4">
      <w:pPr>
        <w:spacing w:after="0" w:line="360" w:lineRule="auto"/>
        <w:ind w:firstLine="720"/>
      </w:pPr>
      <w:r>
        <w:t xml:space="preserve">Merujuk pada penelitian </w:t>
      </w:r>
      <w:r w:rsidRPr="007B1C0E">
        <w:t>(Saridewi, 2019)</w:t>
      </w:r>
      <w:r>
        <w:t xml:space="preserve"> didapatkan karena remaja putri memahami pentingnya mengonsumsi TTD untuk kesehatan dirinya. Hal tersebut mendorong remaja putri mematuhi anjuran untuk selalu mengonsumsi TTD setiap hari 1 tablet selama menstruasi dan seminggu sekali saat tidak menstruasi </w:t>
      </w:r>
      <w:r>
        <w:fldChar w:fldCharType="begin" w:fldLock="1"/>
      </w:r>
      <w:r>
        <w:instrText>ADDIN CSL_CITATION {"citationItems":[{"id":"ITEM-1","itemData":{"ISBN":"9786025089336","author":[{"dropping-particle":"","family":"Saridewi","given":"Wisdyana","non-dropping-particle":"","parse-names":false,"suffix":""},{"dropping-particle":"","family":"Ekawati","given":"Kartika","non-dropping-particle":"","parse-names":false,"suffix":""}],"id":"ITEM-1","issued":{"date-parts":[["2019"]]},"page":"87-92","title":"Hubungan Pengetahuan dengan Kepatuhan dalam Mengkonsumsi Tablet Tambah Darah di SMAN 1 Ngamprah","type":"article-journal","volume":"1"},"uris":["http://www.mendeley.com/documents/?uuid=262e2a57-c550-402d-aaff-92609474c4ad"]}],"mendeley":{"formattedCitation":"(Saridewi &amp; Ekawati, 2019)","plainTextFormattedCitation":"(Saridewi &amp; Ekawati, 2019)","previouslyFormattedCitation":"(Saridewi &amp; Ekawati, 2019)"},"properties":{"noteIndex":0},"schema":"https://github.com/citation-style-language/schema/raw/master/csl-citation.json"}</w:instrText>
      </w:r>
      <w:r>
        <w:fldChar w:fldCharType="separate"/>
      </w:r>
      <w:r w:rsidRPr="00E30816">
        <w:rPr>
          <w:noProof/>
        </w:rPr>
        <w:t>(Saridewi &amp; Ekawati, 2019)</w:t>
      </w:r>
      <w:r>
        <w:fldChar w:fldCharType="end"/>
      </w:r>
      <w:r>
        <w:t>, didapatkan hasil bahwa remaja putri yang tidak patuh dalam mengonsumsi TTD merasa dirinya sehat dan tidak perlu mengonsumsi TTD, sehingga mengakibatkan remaja putri tidak patuh. Hal ini sejalan dengan pendapat Niven (2012) yang mengungkapkan bahwa derajat ketidakpatuhan ditentukan oleh beberapa faktor, salah satunya adalah motivasi atau dukungan, dalam penelitian ini yaitu motivasi dari anggota keluarga untuk mengonsumsi TTD.</w:t>
      </w:r>
    </w:p>
    <w:p w:rsidR="008607C4" w:rsidRDefault="008607C4" w:rsidP="008607C4">
      <w:pPr>
        <w:pStyle w:val="Heading2"/>
        <w:numPr>
          <w:ilvl w:val="0"/>
          <w:numId w:val="0"/>
        </w:numPr>
        <w:spacing w:line="360" w:lineRule="auto"/>
        <w:ind w:left="576" w:hanging="576"/>
      </w:pPr>
      <w:bookmarkStart w:id="21" w:name="_Toc136080201"/>
      <w:r>
        <w:t>5.6 Pengetahuan, Sikap Terhadap Konsumsi TTD</w:t>
      </w:r>
      <w:bookmarkEnd w:id="21"/>
      <w:r>
        <w:t xml:space="preserve">  </w:t>
      </w:r>
    </w:p>
    <w:p w:rsidR="008607C4" w:rsidRPr="00BE20E2" w:rsidRDefault="008607C4" w:rsidP="008607C4">
      <w:pPr>
        <w:spacing w:after="120" w:line="360" w:lineRule="auto"/>
        <w:ind w:firstLine="576"/>
      </w:pPr>
      <w:r>
        <w:t xml:space="preserve">Pengetahuan merupakan salah satu faktor penting untuk membentuk suatu sikap yang utuh. Semakin baik pengetahuan seseorang semakin baik sikap yang </w:t>
      </w:r>
      <w:proofErr w:type="gramStart"/>
      <w:r>
        <w:t>akan</w:t>
      </w:r>
      <w:proofErr w:type="gramEnd"/>
      <w:r>
        <w:t xml:space="preserve"> terbentuk untuk menciptakan suatu tindakan yang baik pula.</w:t>
      </w:r>
    </w:p>
    <w:tbl>
      <w:tblPr>
        <w:tblStyle w:val="ListTable6Colorful"/>
        <w:tblpPr w:leftFromText="180" w:rightFromText="180" w:vertAnchor="text" w:horzAnchor="margin" w:tblpY="372"/>
        <w:tblW w:w="7933" w:type="dxa"/>
        <w:shd w:val="clear" w:color="auto" w:fill="FFFFFF" w:themeFill="background1"/>
        <w:tblLook w:val="04A0" w:firstRow="1" w:lastRow="0" w:firstColumn="1" w:lastColumn="0" w:noHBand="0" w:noVBand="1"/>
      </w:tblPr>
      <w:tblGrid>
        <w:gridCol w:w="1553"/>
        <w:gridCol w:w="994"/>
        <w:gridCol w:w="850"/>
        <w:gridCol w:w="993"/>
        <w:gridCol w:w="1275"/>
        <w:gridCol w:w="993"/>
        <w:gridCol w:w="1275"/>
      </w:tblGrid>
      <w:tr w:rsidR="008607C4" w:rsidRPr="00C42BF7" w:rsidTr="003F7BA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3" w:type="dxa"/>
            <w:vMerge w:val="restart"/>
            <w:shd w:val="clear" w:color="auto" w:fill="FFFFFF" w:themeFill="background1"/>
          </w:tcPr>
          <w:p w:rsidR="008607C4" w:rsidRPr="004E5DE0" w:rsidRDefault="008607C4" w:rsidP="003F7BA5">
            <w:r w:rsidRPr="004E5DE0">
              <w:lastRenderedPageBreak/>
              <w:t xml:space="preserve">Pengetahuan </w:t>
            </w:r>
          </w:p>
        </w:tc>
        <w:tc>
          <w:tcPr>
            <w:tcW w:w="4112" w:type="dxa"/>
            <w:gridSpan w:val="4"/>
            <w:shd w:val="clear" w:color="auto" w:fill="FFFFFF" w:themeFill="background1"/>
          </w:tcPr>
          <w:p w:rsidR="008607C4" w:rsidRPr="004E5DE0" w:rsidRDefault="008607C4" w:rsidP="003F7BA5">
            <w:pPr>
              <w:jc w:val="center"/>
              <w:cnfStyle w:val="100000000000" w:firstRow="1" w:lastRow="0" w:firstColumn="0" w:lastColumn="0" w:oddVBand="0" w:evenVBand="0" w:oddHBand="0" w:evenHBand="0" w:firstRowFirstColumn="0" w:firstRowLastColumn="0" w:lastRowFirstColumn="0" w:lastRowLastColumn="0"/>
            </w:pPr>
            <w:r w:rsidRPr="004E5DE0">
              <w:t>Konsumsi Tablet Tambah Darah</w:t>
            </w:r>
          </w:p>
        </w:tc>
        <w:tc>
          <w:tcPr>
            <w:tcW w:w="2268" w:type="dxa"/>
            <w:gridSpan w:val="2"/>
            <w:vMerge w:val="restart"/>
            <w:shd w:val="clear" w:color="auto" w:fill="FFFFFF" w:themeFill="background1"/>
          </w:tcPr>
          <w:p w:rsidR="008607C4" w:rsidRPr="004E5DE0" w:rsidRDefault="008607C4" w:rsidP="003F7BA5">
            <w:pPr>
              <w:jc w:val="center"/>
              <w:cnfStyle w:val="100000000000" w:firstRow="1" w:lastRow="0" w:firstColumn="0" w:lastColumn="0" w:oddVBand="0" w:evenVBand="0" w:oddHBand="0" w:evenHBand="0" w:firstRowFirstColumn="0" w:firstRowLastColumn="0" w:lastRowFirstColumn="0" w:lastRowLastColumn="0"/>
            </w:pPr>
            <w:r w:rsidRPr="004E5DE0">
              <w:t>Total</w:t>
            </w:r>
          </w:p>
        </w:tc>
      </w:tr>
      <w:tr w:rsidR="008607C4" w:rsidRPr="00C42BF7"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Merge/>
            <w:shd w:val="clear" w:color="auto" w:fill="FFFFFF" w:themeFill="background1"/>
          </w:tcPr>
          <w:p w:rsidR="008607C4" w:rsidRPr="004E5DE0" w:rsidRDefault="008607C4" w:rsidP="003F7BA5">
            <w:pPr>
              <w:rPr>
                <w:b w:val="0"/>
              </w:rPr>
            </w:pPr>
          </w:p>
        </w:tc>
        <w:tc>
          <w:tcPr>
            <w:tcW w:w="1844" w:type="dxa"/>
            <w:gridSpan w:val="2"/>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rPr>
                <w:b/>
              </w:rPr>
            </w:pPr>
            <w:r w:rsidRPr="004E5DE0">
              <w:rPr>
                <w:b/>
              </w:rPr>
              <w:t>Patuh</w:t>
            </w:r>
          </w:p>
        </w:tc>
        <w:tc>
          <w:tcPr>
            <w:tcW w:w="2268" w:type="dxa"/>
            <w:gridSpan w:val="2"/>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rPr>
                <w:b/>
              </w:rPr>
              <w:t>Tidak Patuh</w:t>
            </w:r>
          </w:p>
        </w:tc>
        <w:tc>
          <w:tcPr>
            <w:tcW w:w="2268" w:type="dxa"/>
            <w:gridSpan w:val="2"/>
            <w:vMerge/>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p>
        </w:tc>
      </w:tr>
      <w:tr w:rsidR="008607C4" w:rsidRPr="00C42BF7" w:rsidTr="003F7BA5">
        <w:tc>
          <w:tcPr>
            <w:cnfStyle w:val="001000000000" w:firstRow="0" w:lastRow="0" w:firstColumn="1" w:lastColumn="0" w:oddVBand="0" w:evenVBand="0" w:oddHBand="0" w:evenHBand="0" w:firstRowFirstColumn="0" w:firstRowLastColumn="0" w:lastRowFirstColumn="0" w:lastRowLastColumn="0"/>
            <w:tcW w:w="1553" w:type="dxa"/>
            <w:vMerge/>
            <w:shd w:val="clear" w:color="auto" w:fill="FFFFFF" w:themeFill="background1"/>
          </w:tcPr>
          <w:p w:rsidR="008607C4" w:rsidRPr="004E5DE0" w:rsidRDefault="008607C4" w:rsidP="003F7BA5"/>
        </w:tc>
        <w:tc>
          <w:tcPr>
            <w:tcW w:w="994" w:type="dxa"/>
            <w:shd w:val="clear" w:color="auto" w:fill="FFFFFF" w:themeFill="background1"/>
          </w:tcPr>
          <w:p w:rsidR="008607C4" w:rsidRPr="00B83695"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Pr>
                <w:b/>
              </w:rPr>
              <w:t>n</w:t>
            </w:r>
          </w:p>
        </w:tc>
        <w:tc>
          <w:tcPr>
            <w:tcW w:w="850"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4E5DE0">
              <w:rPr>
                <w:b/>
              </w:rPr>
              <w:t>%</w:t>
            </w:r>
          </w:p>
        </w:tc>
        <w:tc>
          <w:tcPr>
            <w:tcW w:w="993" w:type="dxa"/>
            <w:shd w:val="clear" w:color="auto" w:fill="FFFFFF" w:themeFill="background1"/>
          </w:tcPr>
          <w:p w:rsidR="008607C4" w:rsidRPr="00B83695"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B83695">
              <w:rPr>
                <w:b/>
              </w:rPr>
              <w:t>n</w:t>
            </w:r>
          </w:p>
        </w:tc>
        <w:tc>
          <w:tcPr>
            <w:tcW w:w="1275"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4E5DE0">
              <w:rPr>
                <w:b/>
              </w:rPr>
              <w:t>%</w:t>
            </w:r>
          </w:p>
        </w:tc>
        <w:tc>
          <w:tcPr>
            <w:tcW w:w="993" w:type="dxa"/>
            <w:shd w:val="clear" w:color="auto" w:fill="FFFFFF" w:themeFill="background1"/>
          </w:tcPr>
          <w:p w:rsidR="008607C4" w:rsidRPr="00B83695"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B83695">
              <w:rPr>
                <w:b/>
              </w:rPr>
              <w:t>n</w:t>
            </w:r>
          </w:p>
        </w:tc>
        <w:tc>
          <w:tcPr>
            <w:tcW w:w="1275"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4E5DE0">
              <w:rPr>
                <w:b/>
              </w:rPr>
              <w:t>%</w:t>
            </w:r>
          </w:p>
        </w:tc>
      </w:tr>
      <w:tr w:rsidR="008607C4" w:rsidRPr="00C42BF7"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4E5DE0" w:rsidRDefault="008607C4" w:rsidP="003F7BA5">
            <w:pPr>
              <w:rPr>
                <w:b w:val="0"/>
              </w:rPr>
            </w:pPr>
            <w:r w:rsidRPr="004E5DE0">
              <w:rPr>
                <w:b w:val="0"/>
              </w:rPr>
              <w:t xml:space="preserve">Baik </w:t>
            </w:r>
          </w:p>
        </w:tc>
        <w:tc>
          <w:tcPr>
            <w:tcW w:w="994"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13</w:t>
            </w:r>
          </w:p>
        </w:tc>
        <w:tc>
          <w:tcPr>
            <w:tcW w:w="850"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19,4</w:t>
            </w:r>
          </w:p>
        </w:tc>
        <w:tc>
          <w:tcPr>
            <w:tcW w:w="993"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19</w:t>
            </w:r>
          </w:p>
        </w:tc>
        <w:tc>
          <w:tcPr>
            <w:tcW w:w="1275"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28,4</w:t>
            </w:r>
          </w:p>
        </w:tc>
        <w:tc>
          <w:tcPr>
            <w:tcW w:w="993"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32</w:t>
            </w:r>
          </w:p>
        </w:tc>
        <w:tc>
          <w:tcPr>
            <w:tcW w:w="1275"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47,8</w:t>
            </w:r>
          </w:p>
        </w:tc>
      </w:tr>
      <w:tr w:rsidR="008607C4" w:rsidRPr="00C42BF7" w:rsidTr="003F7BA5">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4E5DE0" w:rsidRDefault="008607C4" w:rsidP="003F7BA5">
            <w:pPr>
              <w:rPr>
                <w:b w:val="0"/>
              </w:rPr>
            </w:pPr>
            <w:r w:rsidRPr="004E5DE0">
              <w:rPr>
                <w:b w:val="0"/>
              </w:rPr>
              <w:t>Cukup</w:t>
            </w:r>
          </w:p>
        </w:tc>
        <w:tc>
          <w:tcPr>
            <w:tcW w:w="994"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r w:rsidRPr="004E5DE0">
              <w:t>6</w:t>
            </w:r>
          </w:p>
        </w:tc>
        <w:tc>
          <w:tcPr>
            <w:tcW w:w="850"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r w:rsidRPr="004E5DE0">
              <w:t>9,0</w:t>
            </w:r>
          </w:p>
        </w:tc>
        <w:tc>
          <w:tcPr>
            <w:tcW w:w="993"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r w:rsidRPr="004E5DE0">
              <w:t>15</w:t>
            </w:r>
          </w:p>
        </w:tc>
        <w:tc>
          <w:tcPr>
            <w:tcW w:w="1275"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r w:rsidRPr="004E5DE0">
              <w:t>22,4</w:t>
            </w:r>
          </w:p>
        </w:tc>
        <w:tc>
          <w:tcPr>
            <w:tcW w:w="993"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r w:rsidRPr="004E5DE0">
              <w:t>21</w:t>
            </w:r>
          </w:p>
        </w:tc>
        <w:tc>
          <w:tcPr>
            <w:tcW w:w="1275"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r w:rsidRPr="004E5DE0">
              <w:t>31,3</w:t>
            </w:r>
          </w:p>
        </w:tc>
      </w:tr>
      <w:tr w:rsidR="008607C4" w:rsidRPr="00C42BF7" w:rsidTr="003F7BA5">
        <w:trPr>
          <w:cnfStyle w:val="000000100000" w:firstRow="0" w:lastRow="0" w:firstColumn="0" w:lastColumn="0" w:oddVBand="0" w:evenVBand="0" w:oddHBand="1" w:evenHBand="0" w:firstRowFirstColumn="0" w:firstRowLastColumn="0" w:lastRowFirstColumn="0" w:lastRowLastColumn="0"/>
          <w:trHeight w:val="80"/>
        </w:trPr>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4E5DE0" w:rsidRDefault="008607C4" w:rsidP="003F7BA5">
            <w:pPr>
              <w:rPr>
                <w:b w:val="0"/>
              </w:rPr>
            </w:pPr>
            <w:r w:rsidRPr="004E5DE0">
              <w:rPr>
                <w:b w:val="0"/>
              </w:rPr>
              <w:t xml:space="preserve">Kurang </w:t>
            </w:r>
          </w:p>
        </w:tc>
        <w:tc>
          <w:tcPr>
            <w:tcW w:w="994"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10</w:t>
            </w:r>
          </w:p>
        </w:tc>
        <w:tc>
          <w:tcPr>
            <w:tcW w:w="850"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14,9</w:t>
            </w:r>
          </w:p>
        </w:tc>
        <w:tc>
          <w:tcPr>
            <w:tcW w:w="993"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4</w:t>
            </w:r>
          </w:p>
        </w:tc>
        <w:tc>
          <w:tcPr>
            <w:tcW w:w="1275"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6,0</w:t>
            </w:r>
          </w:p>
        </w:tc>
        <w:tc>
          <w:tcPr>
            <w:tcW w:w="993"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14</w:t>
            </w:r>
          </w:p>
        </w:tc>
        <w:tc>
          <w:tcPr>
            <w:tcW w:w="1275" w:type="dxa"/>
            <w:shd w:val="clear" w:color="auto" w:fill="FFFFFF" w:themeFill="background1"/>
          </w:tcPr>
          <w:p w:rsidR="008607C4" w:rsidRPr="004E5DE0"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4E5DE0">
              <w:t>20,9</w:t>
            </w:r>
          </w:p>
        </w:tc>
      </w:tr>
      <w:tr w:rsidR="008607C4" w:rsidRPr="00C42BF7" w:rsidTr="003F7BA5">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4E5DE0" w:rsidRDefault="008607C4" w:rsidP="003F7BA5">
            <w:r w:rsidRPr="004E5DE0">
              <w:t xml:space="preserve">Total </w:t>
            </w:r>
          </w:p>
        </w:tc>
        <w:tc>
          <w:tcPr>
            <w:tcW w:w="994"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p>
        </w:tc>
        <w:tc>
          <w:tcPr>
            <w:tcW w:w="850"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p>
        </w:tc>
        <w:tc>
          <w:tcPr>
            <w:tcW w:w="1275"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pPr>
          </w:p>
        </w:tc>
        <w:tc>
          <w:tcPr>
            <w:tcW w:w="993"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4E5DE0">
              <w:rPr>
                <w:b/>
              </w:rPr>
              <w:t>67</w:t>
            </w:r>
          </w:p>
        </w:tc>
        <w:tc>
          <w:tcPr>
            <w:tcW w:w="1275" w:type="dxa"/>
            <w:shd w:val="clear" w:color="auto" w:fill="FFFFFF" w:themeFill="background1"/>
          </w:tcPr>
          <w:p w:rsidR="008607C4" w:rsidRPr="004E5DE0"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4E5DE0">
              <w:rPr>
                <w:b/>
              </w:rPr>
              <w:t>100</w:t>
            </w:r>
          </w:p>
        </w:tc>
      </w:tr>
    </w:tbl>
    <w:p w:rsidR="008607C4" w:rsidRPr="00ED3A3D" w:rsidRDefault="008607C4" w:rsidP="008607C4">
      <w:pPr>
        <w:spacing w:after="120" w:line="360" w:lineRule="auto"/>
        <w:jc w:val="center"/>
        <w:rPr>
          <w:b/>
        </w:rPr>
      </w:pPr>
      <w:r w:rsidRPr="00ED3A3D">
        <w:rPr>
          <w:b/>
        </w:rPr>
        <w:t xml:space="preserve">Tabel </w:t>
      </w:r>
      <w:r>
        <w:rPr>
          <w:b/>
        </w:rPr>
        <w:t xml:space="preserve">8. </w:t>
      </w:r>
      <w:r w:rsidRPr="00ED3A3D">
        <w:rPr>
          <w:b/>
        </w:rPr>
        <w:t xml:space="preserve">Distribusi Frekuensi Pengetahuan Terhadap Konsumsi TTD </w:t>
      </w:r>
    </w:p>
    <w:p w:rsidR="008607C4" w:rsidRDefault="008607C4" w:rsidP="008607C4">
      <w:pPr>
        <w:spacing w:before="360" w:after="0" w:line="360" w:lineRule="auto"/>
        <w:ind w:firstLine="720"/>
      </w:pPr>
      <w:r>
        <w:lastRenderedPageBreak/>
        <w:t>Berdasarkan tabel 8 diketahui responden dengan pengetahuan baik 19</w:t>
      </w:r>
      <w:proofErr w:type="gramStart"/>
      <w:r>
        <w:t>,4</w:t>
      </w:r>
      <w:proofErr w:type="gramEnd"/>
      <w:r>
        <w:t>% patuh dalam mengonsumsi TTD. Tetapi masih ada yang pengetahuan baik 28</w:t>
      </w:r>
      <w:proofErr w:type="gramStart"/>
      <w:r>
        <w:t>,4</w:t>
      </w:r>
      <w:proofErr w:type="gramEnd"/>
      <w:r>
        <w:t>% tetapi tidak patuh dalam mengonsumsi TTD. Sedangkan pengetahuan kurang sebanyak 6</w:t>
      </w:r>
      <w:proofErr w:type="gramStart"/>
      <w:r>
        <w:t>,0</w:t>
      </w:r>
      <w:proofErr w:type="gramEnd"/>
      <w:r>
        <w:t xml:space="preserve">% dan tidak patuh konsumsi TTD. Hal ini dikarenakan adanya kaitan antara pengetahuan terhadap konsumsi tablet tambah darah, remaja yang memiliki pengetahuan baik tetapi tidak patuh dalam mengonsumsi TTD. Kurangnya pengetahuan tentang anemia dan tablet tambah darah serta kurang adanya motivasi dari diri remaja itu sendiri untuk konsumsi tablet tambah darah </w:t>
      </w:r>
      <w:r>
        <w:fldChar w:fldCharType="begin" w:fldLock="1"/>
      </w:r>
      <w:r>
        <w:instrText>ADDIN CSL_CITATION {"citationItems":[{"id":"ITEM-1","itemData":{"ISBN":"9786025089336","author":[{"dropping-particle":"","family":"Saridewi","given":"Wisdyana","non-dropping-particle":"","parse-names":false,"suffix":""},{"dropping-particle":"","family":"Ekawati","given":"Kartika","non-dropping-particle":"","parse-names":false,"suffix":""}],"id":"ITEM-1","issued":{"date-parts":[["2019"]]},"page":"87-92","title":"Hubungan Pengetahuan dengan Kepatuhan dalam Mengkonsumsi Tablet Tambah Darah di SMAN 1 Ngamprah","type":"article-journal","volume":"1"},"uris":["http://www.mendeley.com/documents/?uuid=262e2a57-c550-402d-aaff-92609474c4ad"]}],"mendeley":{"formattedCitation":"(Saridewi &amp; Ekawati, 2019)","plainTextFormattedCitation":"(Saridewi &amp; Ekawati, 2019)","previouslyFormattedCitation":"(Saridewi &amp; Ekawati, 2019)"},"properties":{"noteIndex":0},"schema":"https://github.com/citation-style-language/schema/raw/master/csl-citation.json"}</w:instrText>
      </w:r>
      <w:r>
        <w:fldChar w:fldCharType="separate"/>
      </w:r>
      <w:r w:rsidRPr="003520A7">
        <w:rPr>
          <w:noProof/>
        </w:rPr>
        <w:t>(Saridewi &amp; Ekawati, 2019)</w:t>
      </w:r>
      <w:r>
        <w:fldChar w:fldCharType="end"/>
      </w:r>
      <w:r>
        <w:t xml:space="preserve">. </w:t>
      </w:r>
    </w:p>
    <w:p w:rsidR="008607C4" w:rsidRDefault="008607C4" w:rsidP="008607C4">
      <w:pPr>
        <w:spacing w:after="0" w:line="360" w:lineRule="auto"/>
        <w:ind w:firstLine="432"/>
      </w:pPr>
      <w:r>
        <w:t xml:space="preserve">Dari hasil wawancara didapatkan bahwa remaja putri yang tidak patuh dalam mengonsumsi TTD merasa dirinya sehat dan merasa tidak perlu untuk mengonsumsi tablet tambah darah. Pengetahuan diperlukan sebagai dorongan sikap dan perilaku, sehingga dapat dikatakan bahwa pengetahuan merupakan stimulasi terhadap tindakan seseorang. Oleh karena itu pengetahuan remaja putri tentang pengertian, manfaat, tujuan mengonsumsi TTD pada remaja perlu terus ditingkatkan. Oleh karena itu, pengetahuan yang baik juga tidak menjamin seseorang untuk patuh dalam mengonsumsi tablet tambah darah. Perlu adanya dorongan sikap dari dalam diri sendiri bahwa mengonsumsi tablet tambah darah itu penting. </w:t>
      </w:r>
    </w:p>
    <w:p w:rsidR="008607C4" w:rsidRDefault="008607C4" w:rsidP="008607C4">
      <w:pPr>
        <w:spacing w:line="360" w:lineRule="auto"/>
        <w:ind w:firstLine="432"/>
      </w:pPr>
      <w:r>
        <w:t xml:space="preserve">Merujuk pada penelitian (Wahyuningsih, 2019) Faktor yang mempengaruhi pengetahuan kurangnya informasi dari tenaga kesehatan. Pada saat memberikan pelayanan kesehatan seperti penyuluhan mereka hanya diberikan informasi lisan sehingga informasi kurang efektif. Oleh karena itu, pentingnya pendidikan kesehatan </w:t>
      </w:r>
      <w:r>
        <w:lastRenderedPageBreak/>
        <w:t xml:space="preserve">diberikan tentang mengonsumsi suplemen yang baik sehingga dapat meningkatkan pengetahuan tentang minum suplemen yang baik dan benar sesuai aturan </w:t>
      </w:r>
      <w:r>
        <w:fldChar w:fldCharType="begin" w:fldLock="1"/>
      </w:r>
      <w:r>
        <w:instrText>ADDIN CSL_CITATION {"citationItems":[{"id":"ITEM-1","itemData":{"abstract":"nemia is a medical condition in which the number of red blood cells or hemoglobin is less than normal. According to the Indonesian Ministry of Health in 2016, the target coverage of giving iron tablets for adolescent girls is 30% by 2019. Compliance is the extent to which patient behavior is in accordance with the provisions given by health professionals. Efforts to overcome anemia in adolescents include increasing knowledge to increase compliance with iron tablets. This study aims to determine the relationship between knowledge of anemia and adherence to consuming blood supplement tablets for female adolescents in SMA Negeri 1 Karanganom. This research method is descriptive quantitative with cross sectional approach. The population of this study were 41 students of class XI IPS 1 and XI IPS 2 who attended SMA Negeri 1 Karanganom with a total of 41 respondents using a purposive technique. The instruments used were questionnaires and observation sheets. Data were analyzed using univariate and bivariate tests. The result of the study was that there was a correlation between knowledge about anemia and adherence to consuming blood-supplemented tablets for girls at SMA Negeri 1 Karanganom with a result of 0.000 (p &lt;0.05). The conclusion of this study is the level of knowledge about anemia in class XI adolescent girls at SMA Negeri 1 Karanganom is sufficient. The level of compliance with iron supplement consumption was non-adherent. There is a relationship between knowledge about anemia and compliance with iron supplement consumption.","author":[{"dropping-particle":"","family":"Wahyuningsih","given":"Astri","non-dropping-particle":"","parse-names":false,"suffix":""},{"dropping-particle":"","family":"Qoyyimah","given":"Anna Uswatun","non-dropping-particle":"","parse-names":false,"suffix":""}],"container-title":"INVOLUSI: Jurnal Ilmu Kebidanan","id":"ITEM-1","issue":"1","issued":{"date-parts":[["2019"]]},"page":"1-12","title":"Hubungan Pengetahuan Tentang Anemia Dengan Kepatuhan Mengkonsumsi Tablet Tambah Darah Remaja Putri Di Sma Negeri 1 Karanganom","type":"article-journal","volume":"9"},"uris":["http://www.mendeley.com/documents/?uuid=74795296-e5d9-48cd-80f1-93bcba4e944a"]}],"mendeley":{"formattedCitation":"(Wahyuningsih &amp; Qoyyimah, 2019)","plainTextFormattedCitation":"(Wahyuningsih &amp; Qoyyimah, 2019)","previouslyFormattedCitation":"(Wahyuningsih &amp; Qoyyimah, 2019)"},"properties":{"noteIndex":0},"schema":"https://github.com/citation-style-language/schema/raw/master/csl-citation.json"}</w:instrText>
      </w:r>
      <w:r>
        <w:fldChar w:fldCharType="separate"/>
      </w:r>
      <w:r w:rsidRPr="00922A1B">
        <w:rPr>
          <w:noProof/>
        </w:rPr>
        <w:t>(Wahyuningsih &amp; Qoyyimah, 2019)</w:t>
      </w:r>
      <w:r>
        <w:fldChar w:fldCharType="end"/>
      </w:r>
      <w:r>
        <w:t xml:space="preserve">. </w:t>
      </w:r>
    </w:p>
    <w:tbl>
      <w:tblPr>
        <w:tblStyle w:val="ListTable6Colorful"/>
        <w:tblpPr w:leftFromText="180" w:rightFromText="180" w:vertAnchor="text" w:horzAnchor="margin" w:tblpY="372"/>
        <w:tblW w:w="7421" w:type="dxa"/>
        <w:shd w:val="clear" w:color="auto" w:fill="FFFFFF" w:themeFill="background1"/>
        <w:tblLook w:val="04A0" w:firstRow="1" w:lastRow="0" w:firstColumn="1" w:lastColumn="0" w:noHBand="0" w:noVBand="1"/>
      </w:tblPr>
      <w:tblGrid>
        <w:gridCol w:w="1553"/>
        <w:gridCol w:w="994"/>
        <w:gridCol w:w="850"/>
        <w:gridCol w:w="993"/>
        <w:gridCol w:w="1275"/>
        <w:gridCol w:w="993"/>
        <w:gridCol w:w="763"/>
      </w:tblGrid>
      <w:tr w:rsidR="008607C4" w:rsidRPr="00C42BF7" w:rsidTr="003F7BA5">
        <w:trPr>
          <w:cnfStyle w:val="100000000000" w:firstRow="1" w:lastRow="0" w:firstColumn="0" w:lastColumn="0" w:oddVBand="0" w:evenVBand="0" w:oddHBand="0" w:evenHBand="0" w:firstRowFirstColumn="0" w:firstRowLastColumn="0" w:lastRowFirstColumn="0" w:lastRowLastColumn="0"/>
          <w:trHeight w:val="421"/>
        </w:trPr>
        <w:tc>
          <w:tcPr>
            <w:cnfStyle w:val="001000000000" w:firstRow="0" w:lastRow="0" w:firstColumn="1" w:lastColumn="0" w:oddVBand="0" w:evenVBand="0" w:oddHBand="0" w:evenHBand="0" w:firstRowFirstColumn="0" w:firstRowLastColumn="0" w:lastRowFirstColumn="0" w:lastRowLastColumn="0"/>
            <w:tcW w:w="1553" w:type="dxa"/>
            <w:vMerge w:val="restart"/>
            <w:shd w:val="clear" w:color="auto" w:fill="FFFFFF" w:themeFill="background1"/>
          </w:tcPr>
          <w:p w:rsidR="008607C4" w:rsidRPr="00936788" w:rsidRDefault="008607C4" w:rsidP="003F7BA5">
            <w:r w:rsidRPr="00936788">
              <w:t>Sikap</w:t>
            </w:r>
          </w:p>
        </w:tc>
        <w:tc>
          <w:tcPr>
            <w:tcW w:w="4112" w:type="dxa"/>
            <w:gridSpan w:val="4"/>
            <w:shd w:val="clear" w:color="auto" w:fill="FFFFFF" w:themeFill="background1"/>
          </w:tcPr>
          <w:p w:rsidR="008607C4" w:rsidRPr="00936788" w:rsidRDefault="008607C4" w:rsidP="003F7BA5">
            <w:pPr>
              <w:jc w:val="center"/>
              <w:cnfStyle w:val="100000000000" w:firstRow="1" w:lastRow="0" w:firstColumn="0" w:lastColumn="0" w:oddVBand="0" w:evenVBand="0" w:oddHBand="0" w:evenHBand="0" w:firstRowFirstColumn="0" w:firstRowLastColumn="0" w:lastRowFirstColumn="0" w:lastRowLastColumn="0"/>
            </w:pPr>
            <w:r w:rsidRPr="00936788">
              <w:t>Konsumsi Tablet Tambah Darah</w:t>
            </w:r>
          </w:p>
        </w:tc>
        <w:tc>
          <w:tcPr>
            <w:tcW w:w="1756" w:type="dxa"/>
            <w:gridSpan w:val="2"/>
            <w:vMerge w:val="restart"/>
            <w:shd w:val="clear" w:color="auto" w:fill="FFFFFF" w:themeFill="background1"/>
          </w:tcPr>
          <w:p w:rsidR="008607C4" w:rsidRPr="00936788" w:rsidRDefault="008607C4" w:rsidP="003F7BA5">
            <w:pPr>
              <w:jc w:val="center"/>
              <w:cnfStyle w:val="100000000000" w:firstRow="1" w:lastRow="0" w:firstColumn="0" w:lastColumn="0" w:oddVBand="0" w:evenVBand="0" w:oddHBand="0" w:evenHBand="0" w:firstRowFirstColumn="0" w:firstRowLastColumn="0" w:lastRowFirstColumn="0" w:lastRowLastColumn="0"/>
            </w:pPr>
            <w:r w:rsidRPr="00936788">
              <w:t>Total</w:t>
            </w:r>
          </w:p>
        </w:tc>
      </w:tr>
      <w:tr w:rsidR="008607C4" w:rsidRPr="00C42BF7"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vMerge/>
            <w:shd w:val="clear" w:color="auto" w:fill="FFFFFF" w:themeFill="background1"/>
          </w:tcPr>
          <w:p w:rsidR="008607C4" w:rsidRPr="00936788" w:rsidRDefault="008607C4" w:rsidP="003F7BA5">
            <w:pPr>
              <w:rPr>
                <w:b w:val="0"/>
              </w:rPr>
            </w:pPr>
          </w:p>
        </w:tc>
        <w:tc>
          <w:tcPr>
            <w:tcW w:w="1844" w:type="dxa"/>
            <w:gridSpan w:val="2"/>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rPr>
                <w:b/>
              </w:rPr>
            </w:pPr>
            <w:r w:rsidRPr="00936788">
              <w:rPr>
                <w:b/>
              </w:rPr>
              <w:t>Patuh</w:t>
            </w:r>
          </w:p>
        </w:tc>
        <w:tc>
          <w:tcPr>
            <w:tcW w:w="2268" w:type="dxa"/>
            <w:gridSpan w:val="2"/>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rPr>
                <w:b/>
              </w:rPr>
              <w:t>Tidak Patuh</w:t>
            </w:r>
          </w:p>
        </w:tc>
        <w:tc>
          <w:tcPr>
            <w:tcW w:w="1756" w:type="dxa"/>
            <w:gridSpan w:val="2"/>
            <w:vMerge/>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p>
        </w:tc>
      </w:tr>
      <w:tr w:rsidR="008607C4" w:rsidRPr="00C42BF7" w:rsidTr="003F7BA5">
        <w:tc>
          <w:tcPr>
            <w:cnfStyle w:val="001000000000" w:firstRow="0" w:lastRow="0" w:firstColumn="1" w:lastColumn="0" w:oddVBand="0" w:evenVBand="0" w:oddHBand="0" w:evenHBand="0" w:firstRowFirstColumn="0" w:firstRowLastColumn="0" w:lastRowFirstColumn="0" w:lastRowLastColumn="0"/>
            <w:tcW w:w="1553" w:type="dxa"/>
            <w:vMerge/>
            <w:shd w:val="clear" w:color="auto" w:fill="FFFFFF" w:themeFill="background1"/>
          </w:tcPr>
          <w:p w:rsidR="008607C4" w:rsidRPr="00936788" w:rsidRDefault="008607C4" w:rsidP="003F7BA5"/>
        </w:tc>
        <w:tc>
          <w:tcPr>
            <w:tcW w:w="994" w:type="dxa"/>
            <w:shd w:val="clear" w:color="auto" w:fill="FFFFFF" w:themeFill="background1"/>
          </w:tcPr>
          <w:p w:rsidR="008607C4" w:rsidRPr="00B83695"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B83695">
              <w:rPr>
                <w:b/>
              </w:rPr>
              <w:t>n</w:t>
            </w:r>
          </w:p>
        </w:tc>
        <w:tc>
          <w:tcPr>
            <w:tcW w:w="850"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936788">
              <w:rPr>
                <w:b/>
              </w:rPr>
              <w:t>%</w:t>
            </w:r>
          </w:p>
        </w:tc>
        <w:tc>
          <w:tcPr>
            <w:tcW w:w="993" w:type="dxa"/>
            <w:shd w:val="clear" w:color="auto" w:fill="FFFFFF" w:themeFill="background1"/>
          </w:tcPr>
          <w:p w:rsidR="008607C4" w:rsidRPr="00B83695"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B83695">
              <w:rPr>
                <w:b/>
              </w:rPr>
              <w:t>n</w:t>
            </w:r>
          </w:p>
        </w:tc>
        <w:tc>
          <w:tcPr>
            <w:tcW w:w="1275"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936788">
              <w:rPr>
                <w:b/>
              </w:rPr>
              <w:t>%</w:t>
            </w:r>
          </w:p>
        </w:tc>
        <w:tc>
          <w:tcPr>
            <w:tcW w:w="993" w:type="dxa"/>
            <w:shd w:val="clear" w:color="auto" w:fill="FFFFFF" w:themeFill="background1"/>
          </w:tcPr>
          <w:p w:rsidR="008607C4" w:rsidRPr="00B83695"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B83695">
              <w:rPr>
                <w:b/>
              </w:rPr>
              <w:t>n</w:t>
            </w:r>
          </w:p>
        </w:tc>
        <w:tc>
          <w:tcPr>
            <w:tcW w:w="763"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rPr>
                <w:b/>
              </w:rPr>
            </w:pPr>
            <w:r w:rsidRPr="00936788">
              <w:rPr>
                <w:b/>
              </w:rPr>
              <w:t>%</w:t>
            </w:r>
          </w:p>
        </w:tc>
      </w:tr>
      <w:tr w:rsidR="008607C4" w:rsidRPr="00C42BF7"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936788" w:rsidRDefault="008607C4" w:rsidP="003F7BA5">
            <w:pPr>
              <w:rPr>
                <w:b w:val="0"/>
              </w:rPr>
            </w:pPr>
            <w:r>
              <w:rPr>
                <w:b w:val="0"/>
              </w:rPr>
              <w:t xml:space="preserve">Positif </w:t>
            </w:r>
          </w:p>
        </w:tc>
        <w:tc>
          <w:tcPr>
            <w:tcW w:w="994"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t>17</w:t>
            </w:r>
          </w:p>
        </w:tc>
        <w:tc>
          <w:tcPr>
            <w:tcW w:w="850"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t>25,4</w:t>
            </w:r>
          </w:p>
        </w:tc>
        <w:tc>
          <w:tcPr>
            <w:tcW w:w="993"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t>29</w:t>
            </w:r>
          </w:p>
        </w:tc>
        <w:tc>
          <w:tcPr>
            <w:tcW w:w="1275"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t>43,3</w:t>
            </w:r>
          </w:p>
        </w:tc>
        <w:tc>
          <w:tcPr>
            <w:tcW w:w="993"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t>45</w:t>
            </w:r>
          </w:p>
        </w:tc>
        <w:tc>
          <w:tcPr>
            <w:tcW w:w="763"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r w:rsidRPr="00936788">
              <w:t>68,7</w:t>
            </w:r>
          </w:p>
        </w:tc>
      </w:tr>
      <w:tr w:rsidR="008607C4" w:rsidRPr="00C42BF7" w:rsidTr="003F7BA5">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936788" w:rsidRDefault="008607C4" w:rsidP="003F7BA5">
            <w:pPr>
              <w:rPr>
                <w:b w:val="0"/>
              </w:rPr>
            </w:pPr>
            <w:r>
              <w:rPr>
                <w:b w:val="0"/>
              </w:rPr>
              <w:t>Negatif</w:t>
            </w:r>
          </w:p>
        </w:tc>
        <w:tc>
          <w:tcPr>
            <w:tcW w:w="994"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pPr>
            <w:r>
              <w:t>12</w:t>
            </w:r>
          </w:p>
        </w:tc>
        <w:tc>
          <w:tcPr>
            <w:tcW w:w="850"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pPr>
            <w:r>
              <w:t>17,9</w:t>
            </w:r>
          </w:p>
        </w:tc>
        <w:tc>
          <w:tcPr>
            <w:tcW w:w="993"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pPr>
            <w:r>
              <w:t>9</w:t>
            </w:r>
          </w:p>
        </w:tc>
        <w:tc>
          <w:tcPr>
            <w:tcW w:w="1275"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pPr>
            <w:r>
              <w:t>13,5</w:t>
            </w:r>
          </w:p>
        </w:tc>
        <w:tc>
          <w:tcPr>
            <w:tcW w:w="993"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pPr>
            <w:r>
              <w:t>2</w:t>
            </w:r>
            <w:r w:rsidRPr="00936788">
              <w:t>1</w:t>
            </w:r>
          </w:p>
        </w:tc>
        <w:tc>
          <w:tcPr>
            <w:tcW w:w="763" w:type="dxa"/>
            <w:shd w:val="clear" w:color="auto" w:fill="FFFFFF" w:themeFill="background1"/>
          </w:tcPr>
          <w:p w:rsidR="008607C4" w:rsidRPr="00936788" w:rsidRDefault="008607C4" w:rsidP="003F7BA5">
            <w:pPr>
              <w:jc w:val="center"/>
              <w:cnfStyle w:val="000000000000" w:firstRow="0" w:lastRow="0" w:firstColumn="0" w:lastColumn="0" w:oddVBand="0" w:evenVBand="0" w:oddHBand="0" w:evenHBand="0" w:firstRowFirstColumn="0" w:firstRowLastColumn="0" w:lastRowFirstColumn="0" w:lastRowLastColumn="0"/>
            </w:pPr>
            <w:r>
              <w:t>31,3</w:t>
            </w:r>
          </w:p>
        </w:tc>
      </w:tr>
      <w:tr w:rsidR="008607C4" w:rsidRPr="00C42BF7" w:rsidTr="003F7BA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53" w:type="dxa"/>
            <w:shd w:val="clear" w:color="auto" w:fill="FFFFFF" w:themeFill="background1"/>
          </w:tcPr>
          <w:p w:rsidR="008607C4" w:rsidRPr="00936788" w:rsidRDefault="008607C4" w:rsidP="003F7BA5">
            <w:r w:rsidRPr="00936788">
              <w:t xml:space="preserve">Total </w:t>
            </w:r>
          </w:p>
        </w:tc>
        <w:tc>
          <w:tcPr>
            <w:tcW w:w="994"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p>
        </w:tc>
        <w:tc>
          <w:tcPr>
            <w:tcW w:w="850"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p>
        </w:tc>
        <w:tc>
          <w:tcPr>
            <w:tcW w:w="1275"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pPr>
          </w:p>
        </w:tc>
        <w:tc>
          <w:tcPr>
            <w:tcW w:w="993"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rPr>
                <w:b/>
              </w:rPr>
            </w:pPr>
            <w:r w:rsidRPr="00936788">
              <w:rPr>
                <w:b/>
              </w:rPr>
              <w:t>67</w:t>
            </w:r>
          </w:p>
        </w:tc>
        <w:tc>
          <w:tcPr>
            <w:tcW w:w="763" w:type="dxa"/>
            <w:shd w:val="clear" w:color="auto" w:fill="FFFFFF" w:themeFill="background1"/>
          </w:tcPr>
          <w:p w:rsidR="008607C4" w:rsidRPr="00936788" w:rsidRDefault="008607C4" w:rsidP="003F7BA5">
            <w:pPr>
              <w:jc w:val="center"/>
              <w:cnfStyle w:val="000000100000" w:firstRow="0" w:lastRow="0" w:firstColumn="0" w:lastColumn="0" w:oddVBand="0" w:evenVBand="0" w:oddHBand="1" w:evenHBand="0" w:firstRowFirstColumn="0" w:firstRowLastColumn="0" w:lastRowFirstColumn="0" w:lastRowLastColumn="0"/>
              <w:rPr>
                <w:b/>
              </w:rPr>
            </w:pPr>
            <w:r w:rsidRPr="00936788">
              <w:rPr>
                <w:b/>
              </w:rPr>
              <w:t>100</w:t>
            </w:r>
          </w:p>
        </w:tc>
      </w:tr>
    </w:tbl>
    <w:p w:rsidR="008607C4" w:rsidRPr="00ED3A3D" w:rsidRDefault="008607C4" w:rsidP="008607C4">
      <w:pPr>
        <w:spacing w:line="360" w:lineRule="auto"/>
        <w:jc w:val="center"/>
        <w:rPr>
          <w:b/>
        </w:rPr>
      </w:pPr>
      <w:r>
        <w:rPr>
          <w:b/>
        </w:rPr>
        <w:t>Tabel 9</w:t>
      </w:r>
      <w:r w:rsidRPr="00ED3A3D">
        <w:rPr>
          <w:b/>
        </w:rPr>
        <w:t>. Distribusi Frekuensi Sikap Berdasarkan Konsumsi TTD</w:t>
      </w:r>
    </w:p>
    <w:p w:rsidR="008607C4" w:rsidRDefault="008607C4" w:rsidP="008607C4">
      <w:pPr>
        <w:spacing w:before="480" w:after="0" w:line="360" w:lineRule="auto"/>
        <w:ind w:firstLine="576"/>
      </w:pPr>
    </w:p>
    <w:p w:rsidR="008607C4" w:rsidRDefault="008607C4" w:rsidP="008607C4">
      <w:pPr>
        <w:spacing w:before="480" w:after="0" w:line="360" w:lineRule="auto"/>
        <w:ind w:firstLine="576"/>
      </w:pPr>
      <w:r>
        <w:tab/>
        <w:t>Berdasarkan tabel 9 diketahui responden dengan sikap baik 25,4% patuh dalam mengonsumsi TTD, sebanyak 43,3% responden dengan sikap yang positif tidak patuh dalam konsumsi TTD. Sebanyak 13</w:t>
      </w:r>
      <w:proofErr w:type="gramStart"/>
      <w:r>
        <w:t>,3</w:t>
      </w:r>
      <w:proofErr w:type="gramEnd"/>
      <w:r>
        <w:t xml:space="preserve">% sikap negatif dan patuh terhadap konsumsi TTD. Hal ini dikarenakan adanya kaitan antara sikap remaja putri dengan konsumsi TTD yang teratur pada remaja. Hal ini dikarenakan masih kurangnya motivasi atau dukungan dari diri sendiri ataupun dari keluarga dalam mengonsumsi TTD, bahkan tidak sedikit orang tua yang melarang anaknya untuk mengonsumsi TTD karena masih kurangnya pendidikan dan pengetahuan orang tua mengenai manfaatnya, serta kurang adanya motivasi dari diri remaja itu sendiri. </w:t>
      </w:r>
    </w:p>
    <w:p w:rsidR="008607C4" w:rsidRDefault="008607C4" w:rsidP="008607C4">
      <w:pPr>
        <w:spacing w:after="0" w:line="360" w:lineRule="auto"/>
        <w:ind w:firstLine="576"/>
      </w:pPr>
      <w:r>
        <w:t xml:space="preserve">Motivasi dan dukungan keluarga utamanya orang tua di rumah sangat berhubungan dengan keteraturan konsumsi TTD pada remaja putri. Dukungan ini diperlukan untuk menumbuhkan keyakinan dan persepsi positif remaja putri tentang pentingnya konsumsi TTD dalam upaya mencegah risiko anemia. Dukungan keluarga merupakan salah satu fungsi keluarga untuk membentuk kebiasaan, pola makan, dan </w:t>
      </w:r>
      <w:proofErr w:type="gramStart"/>
      <w:r>
        <w:t>gaya</w:t>
      </w:r>
      <w:proofErr w:type="gramEnd"/>
      <w:r>
        <w:t xml:space="preserve"> hidup. Dukungan keluarga dapat dilakukan dalam bentuk mengingatkan jadwal minum TTD dan menyediakan makanan yang dapat meningkatkan zat besi dalam tubuh </w:t>
      </w:r>
      <w:r>
        <w:fldChar w:fldCharType="begin" w:fldLock="1"/>
      </w:r>
      <w:r>
        <w:instrText>ADDIN CSL_CITATION {"citationItems":[{"id":"ITEM-1","itemData":{"ISSN":"2598-7844","abstract":"Abstrak Latar Belakang: Program sumplementasi tablet tambah darah (TTD) sudah dilaksanakan oleh Dinas Kesehatan Kabupaten Jember untuk menyukseskan program 1000 Hari Pertama Kehidupan (HPK). Menurut penelitian terdahulu, siswi SMP Negeri 9 Jember memiliki proporsi niat positif untuk mengkonsumsi TTD secara teratur. Terdapat beberapa faktor yang diduga berhubungan dengan konsumsi TTD seperti faktor pengetahuan, dukungan keluarga, dukungan guru, dan dukungan teman sebaya. Tujuan: Penelitian ini bertujuan untuk mengetahui faktor-faktor yang berhubungan dengan konsumsi tablet tambah darah pada remaja putri di SMP Negeri 9 Jember. Metode: Jenis penelitian observasional dengan rancangan cross sectional. Subjek penelitian adalah seluruh siswi kelas VIII dan IX SMP Negeri 9 Jember sebanyak 129 siswi. Data yang dikumpulkan meliputi karakteristik remaja (umur, umur menarche, gejala anemia, konsumsi TTD), pengetahuan remaja tentang anemia, dukungan guru, dukungan keluarga, dan dukungan teman sebaya. Penyebaran kuesioner dilakukan untuk mengetahui tingkat pengetahuan remaja, sedangkan wawancara dilakukan untuk memperoleh data dukungan. Analisis data menggunakan uji Chi Square. Hasil: Remaja putri dengan tingkat pengetahuan tinggi tentang anemia, dukungan keluarga yang baik, serta dukungan teman sebaya yang baik cenderung lebih teratur dalam mengkonsumsi TTD. Dukungan guru tidak berhubungan dengan konsumsi TTD. Kesimpulan: Faktor yang berhubungan dengan konsumsi TTD pada remaja putri SMP Negeri 9 Jember yaitu pengetahuan remaja serta dukungan keluarga dan teman sebaya. Kata kunci: pengetahuan; dukungan keluarga; dukungan teman; suplementasi tablet tambah darah; remaja putri Abstract Background: Iron tablet supplementation has been implemented by Jember District Health Office to succeed the first thousand days of life program (1000 HPK). According to previous published research, a positive subject intention to consume iron tablet regularly was found in Jember 9 Public Junior High School. There are many factors associated with iron tablet consumption in female adolescent, such as knowledge, family support, teacher support, and peers support. Objective: To determine factors associated with iron tablet consumption on female adolescent in Jember 9 Public Junior High School. Methods:This was an obsevational research with cross sectional approach. The study was conducted on 129 female adolescent students in Jember 9 Public Junior High School. Subject characteristics, knowl…","author":[{"dropping-particle":"","family":"Utomo","given":"Erlina Tri Rahayu","non-dropping-particle":"","parse-names":false,"suffix":""},{"dropping-particle":"","family":"Rohmawati","given":"Ninna","non-dropping-particle":"","parse-names":false,"suffix":""},{"dropping-particle":"","family":"Sulistiyani Sulistiyani","given":"","non-dropping-particle":"","parse-names":false,"suffix":""}],"container-title":"Ilmu Gizi Indonesia","id":"ITEM-1","issue":"1","issued":{"date-parts":[["2020"]]},"page":"1-10","title":"Pengetahuan, dukungan keluarga, dan teman sebaya berhubungan dengan konsumsi tablet tambah darah pada remaja putri (Knowledge, family, and peer support associated with iron tablet consumption on female adolescent)","type":"article-journal","volume":"4"},"uris":["http://www.mendeley.com/documents/?uuid=23679cba-2599-4069-b4b3-e8abab49d966"]}],"mendeley":{"formattedCitation":"(Utomo et al., 2020)","plainTextFormattedCitation":"(Utomo et al., 2020)"},"properties":{"noteIndex":0},"schema":"https://github.com/citation-style-language/schema/raw/master/csl-citation.json"}</w:instrText>
      </w:r>
      <w:r>
        <w:fldChar w:fldCharType="separate"/>
      </w:r>
      <w:r w:rsidRPr="002C4BA6">
        <w:rPr>
          <w:noProof/>
        </w:rPr>
        <w:t>(Utomo et al., 2020)</w:t>
      </w:r>
      <w:r>
        <w:fldChar w:fldCharType="end"/>
      </w:r>
      <w:r>
        <w:t xml:space="preserve">. </w:t>
      </w:r>
    </w:p>
    <w:p w:rsidR="008607C4" w:rsidRDefault="008607C4" w:rsidP="008607C4">
      <w:pPr>
        <w:spacing w:after="0" w:line="360" w:lineRule="auto"/>
        <w:ind w:firstLine="576"/>
      </w:pPr>
      <w:r>
        <w:lastRenderedPageBreak/>
        <w:t xml:space="preserve">Remaja putri harus peduli terhadap kesehatan tubuhnya yang berhubungan dengan anemia. Anemia yang terjadi pada remaja putri merupakan risiko terjadinya gangguan fungsi fisik dan mental, masalah kejadian anemia pada remaja dapat berdampak pada menurunnya kemampuan dan konsentrasi belajar, menghambat pertumbuhan fisik dan perkembangan kecerdasaan otak. Sikap merupakan kesediaan dalam bertindak dalam hal ini remaja putri harus mempunyai dorongan dari dalam diri sendiri untuk bersikap baik dalam mengonsumsi TTD. Sikap yang baik diantaranya remaja putri bersedia mengonsumsi TTD secara teratur setiap minggu. Konsumsi tablet tambah darah secara teratur </w:t>
      </w:r>
      <w:proofErr w:type="gramStart"/>
      <w:r>
        <w:t>akan</w:t>
      </w:r>
      <w:proofErr w:type="gramEnd"/>
      <w:r>
        <w:t xml:space="preserve"> mencegah remaja terkena anemia. </w:t>
      </w:r>
    </w:p>
    <w:p w:rsidR="008607C4" w:rsidRDefault="008607C4" w:rsidP="008607C4">
      <w:pPr>
        <w:spacing w:line="360" w:lineRule="auto"/>
        <w:ind w:firstLine="576"/>
      </w:pPr>
      <w:r>
        <w:t xml:space="preserve">Merujuk pada penelitian (Andani, 2020) sikap yang telah dilakukan sebagian besar siswi memiliki sikap baik tentang konsumsi tablet tambah darah. Sikap yang dimiliki dipengaruhi dari berupa penyuluhan yang dilakukan oleh petugas kesehatan, media social, pengaruh budaya serta lingkungan </w:t>
      </w:r>
      <w:r>
        <w:fldChar w:fldCharType="begin" w:fldLock="1"/>
      </w:r>
      <w:r>
        <w:instrText>ADDIN CSL_CITATION {"citationItems":[{"id":"ITEM-1","itemData":{"DOI":"10.20473/amnt.v4i3.2020.218-224","ISSN":"2580-1163","abstract":" ABSTRACTBackground: Chronic Energy Deficiency can occur in women in reproductive age (WUS) and pregnant woman who have Mid Upper Arm Circumference (MUFA) &lt;23.5 cm. In 2019 the number of occurrences of CED for pregnant women in Prambontergayang Public Health Center was exceeded the target of Tuban Regency by 10.8%. Events of CED can occur due to low levels of education, low knowledge of nutrition, low family income, maternal age &lt;20 years or&gt; 35 years, high maternal parity, and too close the pregnancy distance. Purpose: to analyze factors related to the incidence of CED in pregnant women in the Prambontergayang Health Center in 2019.Method: this study was an observational analytic study with a cross sectional design. The sample of the study was pregnant women in Prambontergayang Public Health Center, which amounted to 179 pregnant women by using simple random sampling. The variables used are age, education, occupation, income, and age of pregnancy. Data analysis was performed using the Chi Square test and Pearson's Test.Results: The results showed that the prevalence of pregnant women who experienced CED was 20.1% and the value of p on the variables of age (p&lt;0.001), education (p=0.013), occupation (p=0.008), and income (p&lt;0.001) had significance &lt;0.05 which meant there was a relationship with the CED events. In the gestational age variable, p&gt; 0.05, which means there was no relationship with the CED.Conclusion: the incidence of CED is related to the condition of pregnant women aged &lt;20 years and&gt; 35 years, low education, not working and low income. But there is no relationship between maternal gestational age with the incidence of CED. The advice that can be given is that the village government invites pregnant women and their families to actively participate in managing the productive economy and the Public Health Center provides information on nutritious foods so as to increase the knowledge of pregnant women.ABSTRAKLatar Belakang : Kekurangan Energi Kronis dapat terjadi padaiwanita usia subur (WUS) daniibu hamil yangimemiliki Lingkar Lengan Atasi(LiLA) &lt;23,5 cm. Pada tahun 2019 jumlah kejadianiKEK ibu hamil di Puskesmas Prambontergayang melebihi target dari Kabupaten Tuban yaitu 10,8%.Tujuan : untuk mengetahui faktor yang mempengaruhi kejadian KEK pada ibu hamil di Puskesmas Prambontergayang Tahun 2019.Metode : Jenis penelitian yang digunakan  adalah analitik dengan menggunakan pendekatan cross sectional. Sampel dari penelitian yaitu ibu hamil di Wi…","author":[{"dropping-particle":"","family":"Andini","given":"Fauziah Rizki","non-dropping-particle":"","parse-names":false,"suffix":""}],"container-title":"Amerta Nutrition","id":"ITEM-1","issue":"3","issued":{"date-parts":[["2020"]]},"page":"218","title":"Hubungan Faktor Sosio Ekonomi Dan Usia Kehamilan Dengan Kejadian Kekurangan Energi Kronis Pada Ibu Hamil Di Puskesmas Prambontergayang Kabupaten Tuban","type":"article-journal","volume":"4"},"uris":["http://www.mendeley.com/documents/?uuid=c44d1882-9318-4646-9dc9-ba700685592e"]}],"mendeley":{"formattedCitation":"(Andini, 2020)","plainTextFormattedCitation":"(Andini, 2020)","previouslyFormattedCitation":"(Andini, 2020)"},"properties":{"noteIndex":0},"schema":"https://github.com/citation-style-language/schema/raw/master/csl-citation.json"}</w:instrText>
      </w:r>
      <w:r>
        <w:fldChar w:fldCharType="separate"/>
      </w:r>
      <w:r w:rsidRPr="00100C72">
        <w:rPr>
          <w:noProof/>
        </w:rPr>
        <w:t>(Andini, 2020)</w:t>
      </w:r>
      <w:r>
        <w:fldChar w:fldCharType="end"/>
      </w:r>
      <w:r>
        <w:t>.</w:t>
      </w:r>
    </w:p>
    <w:p w:rsidR="008B71DD" w:rsidRDefault="008B71DD">
      <w:bookmarkStart w:id="22" w:name="_GoBack"/>
      <w:bookmarkEnd w:id="22"/>
    </w:p>
    <w:sectPr w:rsidR="008B71DD" w:rsidSect="008607C4">
      <w:pgSz w:w="12240" w:h="15840"/>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9106A6"/>
    <w:multiLevelType w:val="multilevel"/>
    <w:tmpl w:val="CA32560E"/>
    <w:lvl w:ilvl="0">
      <w:start w:val="1"/>
      <w:numFmt w:val="decimal"/>
      <w:pStyle w:val="Heading1"/>
      <w:lvlText w:val="BAB %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1712"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7C4"/>
    <w:rsid w:val="00630AD7"/>
    <w:rsid w:val="008607C4"/>
    <w:rsid w:val="008B71DD"/>
    <w:rsid w:val="009754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52D091A-0EA4-44A5-9C69-8F11A15394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7C4"/>
    <w:pPr>
      <w:spacing w:after="200" w:line="276" w:lineRule="auto"/>
      <w:jc w:val="both"/>
    </w:pPr>
    <w:rPr>
      <w:rFonts w:ascii="Times New Roman" w:hAnsi="Times New Roman"/>
      <w:sz w:val="24"/>
    </w:rPr>
  </w:style>
  <w:style w:type="paragraph" w:styleId="Heading1">
    <w:name w:val="heading 1"/>
    <w:basedOn w:val="Normal"/>
    <w:next w:val="Normal"/>
    <w:link w:val="Heading1Char"/>
    <w:uiPriority w:val="9"/>
    <w:qFormat/>
    <w:rsid w:val="008607C4"/>
    <w:pPr>
      <w:keepNext/>
      <w:keepLines/>
      <w:numPr>
        <w:numId w:val="1"/>
      </w:numPr>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8607C4"/>
    <w:pPr>
      <w:keepNext/>
      <w:keepLines/>
      <w:numPr>
        <w:ilvl w:val="1"/>
        <w:numId w:val="1"/>
      </w:numPr>
      <w:spacing w:before="200" w:after="0"/>
      <w:outlineLvl w:val="1"/>
    </w:pPr>
    <w:rPr>
      <w:rFonts w:eastAsiaTheme="majorEastAsia" w:cstheme="majorBidi"/>
      <w:b/>
      <w:bCs/>
      <w:szCs w:val="26"/>
    </w:rPr>
  </w:style>
  <w:style w:type="paragraph" w:styleId="Heading3">
    <w:name w:val="heading 3"/>
    <w:basedOn w:val="Normal"/>
    <w:next w:val="Normal"/>
    <w:link w:val="Heading3Char"/>
    <w:uiPriority w:val="9"/>
    <w:unhideWhenUsed/>
    <w:qFormat/>
    <w:rsid w:val="008607C4"/>
    <w:pPr>
      <w:keepNext/>
      <w:keepLines/>
      <w:numPr>
        <w:ilvl w:val="2"/>
        <w:numId w:val="1"/>
      </w:numPr>
      <w:spacing w:before="200" w:after="0"/>
      <w:outlineLvl w:val="2"/>
    </w:pPr>
    <w:rPr>
      <w:rFonts w:eastAsiaTheme="majorEastAsia" w:cstheme="majorBidi"/>
      <w:b/>
      <w:bCs/>
    </w:rPr>
  </w:style>
  <w:style w:type="paragraph" w:styleId="Heading4">
    <w:name w:val="heading 4"/>
    <w:basedOn w:val="Normal"/>
    <w:next w:val="Normal"/>
    <w:link w:val="Heading4Char"/>
    <w:uiPriority w:val="9"/>
    <w:unhideWhenUsed/>
    <w:qFormat/>
    <w:rsid w:val="008607C4"/>
    <w:pPr>
      <w:keepNext/>
      <w:keepLines/>
      <w:numPr>
        <w:ilvl w:val="3"/>
        <w:numId w:val="1"/>
      </w:numPr>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unhideWhenUsed/>
    <w:qFormat/>
    <w:rsid w:val="008607C4"/>
    <w:pPr>
      <w:keepNext/>
      <w:keepLines/>
      <w:numPr>
        <w:ilvl w:val="4"/>
        <w:numId w:val="1"/>
      </w:numPr>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unhideWhenUsed/>
    <w:qFormat/>
    <w:rsid w:val="008607C4"/>
    <w:pPr>
      <w:keepNext/>
      <w:keepLines/>
      <w:numPr>
        <w:ilvl w:val="5"/>
        <w:numId w:val="1"/>
      </w:numPr>
      <w:spacing w:before="200" w:after="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unhideWhenUsed/>
    <w:qFormat/>
    <w:rsid w:val="008607C4"/>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8607C4"/>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unhideWhenUsed/>
    <w:qFormat/>
    <w:rsid w:val="008607C4"/>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607C4"/>
    <w:rPr>
      <w:rFonts w:ascii="Times New Roman" w:eastAsiaTheme="majorEastAsia" w:hAnsi="Times New Roman" w:cstheme="majorBidi"/>
      <w:b/>
      <w:bCs/>
      <w:sz w:val="28"/>
      <w:szCs w:val="28"/>
    </w:rPr>
  </w:style>
  <w:style w:type="character" w:customStyle="1" w:styleId="Heading2Char">
    <w:name w:val="Heading 2 Char"/>
    <w:basedOn w:val="DefaultParagraphFont"/>
    <w:link w:val="Heading2"/>
    <w:uiPriority w:val="9"/>
    <w:rsid w:val="008607C4"/>
    <w:rPr>
      <w:rFonts w:ascii="Times New Roman" w:eastAsiaTheme="majorEastAsia" w:hAnsi="Times New Roman" w:cstheme="majorBidi"/>
      <w:b/>
      <w:bCs/>
      <w:sz w:val="24"/>
      <w:szCs w:val="26"/>
    </w:rPr>
  </w:style>
  <w:style w:type="character" w:customStyle="1" w:styleId="Heading3Char">
    <w:name w:val="Heading 3 Char"/>
    <w:basedOn w:val="DefaultParagraphFont"/>
    <w:link w:val="Heading3"/>
    <w:uiPriority w:val="9"/>
    <w:rsid w:val="008607C4"/>
    <w:rPr>
      <w:rFonts w:ascii="Times New Roman" w:eastAsiaTheme="majorEastAsia" w:hAnsi="Times New Roman" w:cstheme="majorBidi"/>
      <w:b/>
      <w:bCs/>
      <w:sz w:val="24"/>
    </w:rPr>
  </w:style>
  <w:style w:type="character" w:customStyle="1" w:styleId="Heading4Char">
    <w:name w:val="Heading 4 Char"/>
    <w:basedOn w:val="DefaultParagraphFont"/>
    <w:link w:val="Heading4"/>
    <w:uiPriority w:val="9"/>
    <w:rsid w:val="008607C4"/>
    <w:rPr>
      <w:rFonts w:asciiTheme="majorHAnsi" w:eastAsiaTheme="majorEastAsia" w:hAnsiTheme="majorHAnsi" w:cstheme="majorBidi"/>
      <w:b/>
      <w:bCs/>
      <w:i/>
      <w:iCs/>
      <w:color w:val="5B9BD5" w:themeColor="accent1"/>
      <w:sz w:val="24"/>
    </w:rPr>
  </w:style>
  <w:style w:type="character" w:customStyle="1" w:styleId="Heading5Char">
    <w:name w:val="Heading 5 Char"/>
    <w:basedOn w:val="DefaultParagraphFont"/>
    <w:link w:val="Heading5"/>
    <w:uiPriority w:val="9"/>
    <w:rsid w:val="008607C4"/>
    <w:rPr>
      <w:rFonts w:asciiTheme="majorHAnsi" w:eastAsiaTheme="majorEastAsia" w:hAnsiTheme="majorHAnsi" w:cstheme="majorBidi"/>
      <w:color w:val="1F4D78" w:themeColor="accent1" w:themeShade="7F"/>
      <w:sz w:val="24"/>
    </w:rPr>
  </w:style>
  <w:style w:type="character" w:customStyle="1" w:styleId="Heading6Char">
    <w:name w:val="Heading 6 Char"/>
    <w:basedOn w:val="DefaultParagraphFont"/>
    <w:link w:val="Heading6"/>
    <w:uiPriority w:val="9"/>
    <w:rsid w:val="008607C4"/>
    <w:rPr>
      <w:rFonts w:asciiTheme="majorHAnsi" w:eastAsiaTheme="majorEastAsia" w:hAnsiTheme="majorHAnsi" w:cstheme="majorBidi"/>
      <w:i/>
      <w:iCs/>
      <w:color w:val="1F4D78" w:themeColor="accent1" w:themeShade="7F"/>
      <w:sz w:val="24"/>
    </w:rPr>
  </w:style>
  <w:style w:type="character" w:customStyle="1" w:styleId="Heading7Char">
    <w:name w:val="Heading 7 Char"/>
    <w:basedOn w:val="DefaultParagraphFont"/>
    <w:link w:val="Heading7"/>
    <w:uiPriority w:val="9"/>
    <w:rsid w:val="008607C4"/>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rsid w:val="008607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8607C4"/>
    <w:rPr>
      <w:rFonts w:asciiTheme="majorHAnsi" w:eastAsiaTheme="majorEastAsia" w:hAnsiTheme="majorHAnsi" w:cstheme="majorBidi"/>
      <w:i/>
      <w:iCs/>
      <w:color w:val="404040" w:themeColor="text1" w:themeTint="BF"/>
      <w:sz w:val="20"/>
      <w:szCs w:val="20"/>
    </w:rPr>
  </w:style>
  <w:style w:type="paragraph" w:styleId="ListParagraph">
    <w:name w:val="List Paragraph"/>
    <w:basedOn w:val="Normal"/>
    <w:uiPriority w:val="34"/>
    <w:qFormat/>
    <w:rsid w:val="008607C4"/>
    <w:pPr>
      <w:ind w:left="720"/>
      <w:contextualSpacing/>
    </w:pPr>
  </w:style>
  <w:style w:type="table" w:styleId="ListTable6Colorful">
    <w:name w:val="List Table 6 Colorful"/>
    <w:basedOn w:val="TableNormal"/>
    <w:uiPriority w:val="51"/>
    <w:rsid w:val="008607C4"/>
    <w:pPr>
      <w:spacing w:after="0" w:line="240" w:lineRule="auto"/>
    </w:pPr>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5344</Words>
  <Characters>30467</Characters>
  <Application>Microsoft Office Word</Application>
  <DocSecurity>0</DocSecurity>
  <Lines>253</Lines>
  <Paragraphs>71</Paragraphs>
  <ScaleCrop>false</ScaleCrop>
  <Company/>
  <LinksUpToDate>false</LinksUpToDate>
  <CharactersWithSpaces>35740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1</cp:revision>
  <dcterms:created xsi:type="dcterms:W3CDTF">2023-08-10T04:49:00Z</dcterms:created>
  <dcterms:modified xsi:type="dcterms:W3CDTF">2023-08-10T04:50:00Z</dcterms:modified>
</cp:coreProperties>
</file>